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4"/>
        <w:tblW w:w="5003" w:type="pct"/>
        <w:tblLook w:val="04A0" w:firstRow="1" w:lastRow="0" w:firstColumn="1" w:lastColumn="0" w:noHBand="0" w:noVBand="1"/>
      </w:tblPr>
      <w:tblGrid>
        <w:gridCol w:w="1841"/>
        <w:gridCol w:w="606"/>
        <w:gridCol w:w="1056"/>
        <w:gridCol w:w="1650"/>
        <w:gridCol w:w="941"/>
        <w:gridCol w:w="653"/>
        <w:gridCol w:w="1518"/>
        <w:gridCol w:w="1317"/>
      </w:tblGrid>
      <w:tr w:rsidR="003B6281" w:rsidRPr="00F72B2C" w14:paraId="6DCBF3E2" w14:textId="72F54CBE" w:rsidTr="00FF6CD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8"/>
          </w:tcPr>
          <w:p w14:paraId="478DFB73" w14:textId="4F7929CC" w:rsidR="003B6281" w:rsidRPr="00F72B2C" w:rsidRDefault="00C465E6" w:rsidP="00FE772C">
            <w:pPr>
              <w:spacing w:line="240" w:lineRule="auto"/>
              <w:ind w:firstLine="0"/>
              <w:rPr>
                <w:sz w:val="20"/>
                <w:szCs w:val="20"/>
              </w:rPr>
            </w:pPr>
            <w:r w:rsidRPr="00F72B2C">
              <w:rPr>
                <w:sz w:val="20"/>
                <w:szCs w:val="20"/>
              </w:rPr>
              <w:t xml:space="preserve">Improving </w:t>
            </w:r>
            <w:r w:rsidR="000A0632">
              <w:rPr>
                <w:sz w:val="20"/>
                <w:szCs w:val="20"/>
              </w:rPr>
              <w:t xml:space="preserve">Professional and </w:t>
            </w:r>
            <w:r w:rsidRPr="00F72B2C">
              <w:rPr>
                <w:sz w:val="20"/>
                <w:szCs w:val="20"/>
              </w:rPr>
              <w:t>A</w:t>
            </w:r>
            <w:r w:rsidR="003B6281" w:rsidRPr="00F72B2C">
              <w:rPr>
                <w:sz w:val="20"/>
                <w:szCs w:val="20"/>
              </w:rPr>
              <w:t xml:space="preserve">cademic </w:t>
            </w:r>
            <w:r w:rsidRPr="00F72B2C">
              <w:rPr>
                <w:sz w:val="20"/>
                <w:szCs w:val="20"/>
              </w:rPr>
              <w:t>W</w:t>
            </w:r>
            <w:r w:rsidR="003B6281" w:rsidRPr="00F72B2C">
              <w:rPr>
                <w:sz w:val="20"/>
                <w:szCs w:val="20"/>
              </w:rPr>
              <w:t>riting</w:t>
            </w:r>
            <w:r w:rsidR="009451DA">
              <w:rPr>
                <w:sz w:val="20"/>
                <w:szCs w:val="20"/>
              </w:rPr>
              <w:t>: Word substitution and us</w:t>
            </w:r>
            <w:r w:rsidR="008B0F0C">
              <w:rPr>
                <w:sz w:val="20"/>
                <w:szCs w:val="20"/>
              </w:rPr>
              <w:t>age</w:t>
            </w:r>
            <w:r w:rsidR="009451DA">
              <w:rPr>
                <w:sz w:val="20"/>
                <w:szCs w:val="20"/>
              </w:rPr>
              <w:t>.</w:t>
            </w:r>
          </w:p>
        </w:tc>
      </w:tr>
      <w:tr w:rsidR="003B6281" w:rsidRPr="00F72B2C" w14:paraId="7FED4915" w14:textId="2CF4504F" w:rsidTr="00FF6CD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B2A1C7" w:themeFill="accent4" w:themeFillTint="99"/>
          </w:tcPr>
          <w:p w14:paraId="33B99EE6" w14:textId="09B7D0D7" w:rsidR="003B6281" w:rsidRPr="00F72B2C" w:rsidRDefault="003B6281" w:rsidP="00353DD1">
            <w:pPr>
              <w:spacing w:line="240" w:lineRule="auto"/>
              <w:ind w:firstLine="0"/>
              <w:rPr>
                <w:sz w:val="20"/>
                <w:szCs w:val="20"/>
              </w:rPr>
            </w:pPr>
            <w:r w:rsidRPr="00F72B2C">
              <w:rPr>
                <w:sz w:val="20"/>
                <w:szCs w:val="20"/>
              </w:rPr>
              <w:t xml:space="preserve">Please </w:t>
            </w:r>
            <w:r w:rsidR="00C465E6" w:rsidRPr="00F72B2C">
              <w:rPr>
                <w:sz w:val="20"/>
                <w:szCs w:val="20"/>
              </w:rPr>
              <w:t xml:space="preserve">vary your </w:t>
            </w:r>
            <w:r w:rsidRPr="00F72B2C">
              <w:rPr>
                <w:sz w:val="20"/>
                <w:szCs w:val="20"/>
              </w:rPr>
              <w:t>use</w:t>
            </w:r>
            <w:r w:rsidR="00C465E6" w:rsidRPr="00F72B2C">
              <w:rPr>
                <w:sz w:val="20"/>
                <w:szCs w:val="20"/>
              </w:rPr>
              <w:t xml:space="preserve"> of the following synonyms </w:t>
            </w:r>
          </w:p>
        </w:tc>
      </w:tr>
      <w:tr w:rsidR="00FF3306" w:rsidRPr="00F72B2C" w14:paraId="31444FDA" w14:textId="731199DF" w:rsidTr="00BE10D7">
        <w:tc>
          <w:tcPr>
            <w:cnfStyle w:val="001000000000" w:firstRow="0" w:lastRow="0" w:firstColumn="1" w:lastColumn="0" w:oddVBand="0" w:evenVBand="0" w:oddHBand="0" w:evenHBand="0" w:firstRowFirstColumn="0" w:firstRowLastColumn="0" w:lastRowFirstColumn="0" w:lastRowLastColumn="0"/>
            <w:tcW w:w="961" w:type="pct"/>
            <w:vMerge w:val="restart"/>
            <w:shd w:val="clear" w:color="auto" w:fill="CCC0D9" w:themeFill="accent4" w:themeFillTint="66"/>
            <w:vAlign w:val="center"/>
          </w:tcPr>
          <w:p w14:paraId="4D19B073" w14:textId="77777777" w:rsidR="00FF3306" w:rsidRPr="00F72B2C" w:rsidRDefault="00FF3306" w:rsidP="00353DD1">
            <w:pPr>
              <w:spacing w:line="240" w:lineRule="auto"/>
              <w:ind w:firstLine="0"/>
              <w:jc w:val="left"/>
              <w:rPr>
                <w:sz w:val="20"/>
                <w:szCs w:val="20"/>
              </w:rPr>
            </w:pPr>
            <w:r w:rsidRPr="00F72B2C">
              <w:rPr>
                <w:sz w:val="20"/>
                <w:szCs w:val="20"/>
              </w:rPr>
              <w:t>Theorize</w:t>
            </w:r>
          </w:p>
        </w:tc>
        <w:tc>
          <w:tcPr>
            <w:tcW w:w="867" w:type="pct"/>
            <w:gridSpan w:val="2"/>
            <w:vAlign w:val="center"/>
          </w:tcPr>
          <w:p w14:paraId="6D931580" w14:textId="350F55BB" w:rsidR="00FF3306" w:rsidRPr="00F72B2C" w:rsidRDefault="00FF3306"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Postulate</w:t>
            </w:r>
          </w:p>
        </w:tc>
        <w:tc>
          <w:tcPr>
            <w:tcW w:w="861" w:type="pct"/>
            <w:vAlign w:val="center"/>
          </w:tcPr>
          <w:p w14:paraId="3EACB4A7" w14:textId="77777777" w:rsidR="00FF3306" w:rsidRPr="00F72B2C" w:rsidRDefault="00FF3306"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Posit</w:t>
            </w:r>
          </w:p>
        </w:tc>
        <w:tc>
          <w:tcPr>
            <w:tcW w:w="832" w:type="pct"/>
            <w:gridSpan w:val="2"/>
            <w:vAlign w:val="center"/>
          </w:tcPr>
          <w:p w14:paraId="029B4CE7" w14:textId="25E9421D" w:rsidR="00FF3306" w:rsidRPr="00F72B2C" w:rsidRDefault="00FF3306"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Assert</w:t>
            </w:r>
          </w:p>
        </w:tc>
        <w:tc>
          <w:tcPr>
            <w:tcW w:w="792" w:type="pct"/>
            <w:vAlign w:val="center"/>
          </w:tcPr>
          <w:p w14:paraId="1AE1F26B" w14:textId="77777777" w:rsidR="00FF3306" w:rsidRPr="00F72B2C" w:rsidRDefault="00FF3306"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Propose</w:t>
            </w:r>
          </w:p>
        </w:tc>
        <w:tc>
          <w:tcPr>
            <w:tcW w:w="687" w:type="pct"/>
            <w:vAlign w:val="center"/>
          </w:tcPr>
          <w:p w14:paraId="691DA4B3" w14:textId="4FDCC532" w:rsidR="00FF3306" w:rsidRPr="00F72B2C" w:rsidRDefault="00FF3306"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State</w:t>
            </w:r>
          </w:p>
        </w:tc>
      </w:tr>
      <w:tr w:rsidR="00FF3306" w:rsidRPr="00F72B2C" w14:paraId="5A94D1FB" w14:textId="77777777" w:rsidTr="00BE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vMerge/>
            <w:shd w:val="clear" w:color="auto" w:fill="CCC0D9" w:themeFill="accent4" w:themeFillTint="66"/>
            <w:vAlign w:val="center"/>
          </w:tcPr>
          <w:p w14:paraId="00439C09" w14:textId="77777777" w:rsidR="00FF3306" w:rsidRPr="00F72B2C" w:rsidRDefault="00FF3306" w:rsidP="00353DD1">
            <w:pPr>
              <w:spacing w:line="240" w:lineRule="auto"/>
              <w:ind w:firstLine="0"/>
              <w:jc w:val="left"/>
              <w:rPr>
                <w:sz w:val="20"/>
                <w:szCs w:val="20"/>
              </w:rPr>
            </w:pPr>
          </w:p>
        </w:tc>
        <w:tc>
          <w:tcPr>
            <w:tcW w:w="867" w:type="pct"/>
            <w:gridSpan w:val="2"/>
            <w:vAlign w:val="center"/>
          </w:tcPr>
          <w:p w14:paraId="3CC5BCDE" w14:textId="2B382E7F" w:rsidR="00FF3306" w:rsidRPr="00F72B2C" w:rsidRDefault="00FF3306"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Hypothesize</w:t>
            </w:r>
          </w:p>
        </w:tc>
        <w:tc>
          <w:tcPr>
            <w:tcW w:w="861" w:type="pct"/>
            <w:vAlign w:val="center"/>
          </w:tcPr>
          <w:p w14:paraId="08EB61F3" w14:textId="78D5EAB6" w:rsidR="00FF3306" w:rsidRPr="00F72B2C" w:rsidRDefault="00FF3306"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 xml:space="preserve">Contend </w:t>
            </w:r>
          </w:p>
        </w:tc>
        <w:tc>
          <w:tcPr>
            <w:tcW w:w="832" w:type="pct"/>
            <w:gridSpan w:val="2"/>
            <w:vAlign w:val="center"/>
          </w:tcPr>
          <w:p w14:paraId="49196C36" w14:textId="5E1E5716" w:rsidR="00FF3306" w:rsidRPr="00F72B2C" w:rsidRDefault="00FF3306"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 xml:space="preserve">Claim </w:t>
            </w:r>
          </w:p>
        </w:tc>
        <w:tc>
          <w:tcPr>
            <w:tcW w:w="792" w:type="pct"/>
            <w:vAlign w:val="center"/>
          </w:tcPr>
          <w:p w14:paraId="6F5931A6" w14:textId="74C5BD41" w:rsidR="00FF3306" w:rsidRPr="00F72B2C" w:rsidRDefault="00FF3306"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Note</w:t>
            </w:r>
          </w:p>
        </w:tc>
        <w:tc>
          <w:tcPr>
            <w:tcW w:w="687" w:type="pct"/>
            <w:vAlign w:val="center"/>
          </w:tcPr>
          <w:p w14:paraId="4BD2ABEF" w14:textId="710DFC75" w:rsidR="00FF3306" w:rsidRPr="00F72B2C" w:rsidRDefault="00FF3306"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Indicate</w:t>
            </w:r>
          </w:p>
        </w:tc>
      </w:tr>
      <w:tr w:rsidR="00FF3306" w:rsidRPr="00F72B2C" w14:paraId="6C048725" w14:textId="77777777" w:rsidTr="00BE10D7">
        <w:tc>
          <w:tcPr>
            <w:cnfStyle w:val="001000000000" w:firstRow="0" w:lastRow="0" w:firstColumn="1" w:lastColumn="0" w:oddVBand="0" w:evenVBand="0" w:oddHBand="0" w:evenHBand="0" w:firstRowFirstColumn="0" w:firstRowLastColumn="0" w:lastRowFirstColumn="0" w:lastRowLastColumn="0"/>
            <w:tcW w:w="961" w:type="pct"/>
            <w:vMerge/>
            <w:shd w:val="clear" w:color="auto" w:fill="CCC0D9" w:themeFill="accent4" w:themeFillTint="66"/>
            <w:vAlign w:val="center"/>
          </w:tcPr>
          <w:p w14:paraId="3F61C946" w14:textId="77777777" w:rsidR="00FF3306" w:rsidRPr="00F72B2C" w:rsidRDefault="00FF3306" w:rsidP="00353DD1">
            <w:pPr>
              <w:spacing w:line="240" w:lineRule="auto"/>
              <w:ind w:firstLine="0"/>
              <w:jc w:val="left"/>
              <w:rPr>
                <w:sz w:val="20"/>
                <w:szCs w:val="20"/>
              </w:rPr>
            </w:pPr>
          </w:p>
        </w:tc>
        <w:tc>
          <w:tcPr>
            <w:tcW w:w="867" w:type="pct"/>
            <w:gridSpan w:val="2"/>
            <w:vAlign w:val="center"/>
          </w:tcPr>
          <w:p w14:paraId="25735C1F" w14:textId="68668A17" w:rsidR="00FF3306" w:rsidRPr="00F72B2C" w:rsidRDefault="00FF3306"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Argue</w:t>
            </w:r>
          </w:p>
        </w:tc>
        <w:tc>
          <w:tcPr>
            <w:tcW w:w="861" w:type="pct"/>
            <w:vAlign w:val="center"/>
          </w:tcPr>
          <w:p w14:paraId="55A1D4FF" w14:textId="4CED724B" w:rsidR="00FF3306" w:rsidRPr="00F72B2C" w:rsidRDefault="005C323E"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Acknowledge</w:t>
            </w:r>
          </w:p>
        </w:tc>
        <w:tc>
          <w:tcPr>
            <w:tcW w:w="832" w:type="pct"/>
            <w:gridSpan w:val="2"/>
            <w:vAlign w:val="center"/>
          </w:tcPr>
          <w:p w14:paraId="3C751C45" w14:textId="77777777" w:rsidR="00FF3306" w:rsidRPr="00F72B2C" w:rsidRDefault="00FF3306"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792" w:type="pct"/>
            <w:vAlign w:val="center"/>
          </w:tcPr>
          <w:p w14:paraId="73CA508A" w14:textId="77777777" w:rsidR="00FF3306" w:rsidRPr="00F72B2C" w:rsidRDefault="00FF3306"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687" w:type="pct"/>
            <w:vAlign w:val="center"/>
          </w:tcPr>
          <w:p w14:paraId="3380B74B" w14:textId="77777777" w:rsidR="00FF3306" w:rsidRPr="00F72B2C" w:rsidRDefault="00FF3306"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F3306" w:rsidRPr="00F72B2C" w14:paraId="4A3B9D46" w14:textId="77777777" w:rsidTr="00BE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vMerge/>
            <w:shd w:val="clear" w:color="auto" w:fill="CCC0D9" w:themeFill="accent4" w:themeFillTint="66"/>
            <w:vAlign w:val="center"/>
          </w:tcPr>
          <w:p w14:paraId="31858175" w14:textId="77777777" w:rsidR="00FF3306" w:rsidRPr="00F72B2C" w:rsidRDefault="00FF3306" w:rsidP="00353DD1">
            <w:pPr>
              <w:spacing w:line="240" w:lineRule="auto"/>
              <w:ind w:firstLine="0"/>
              <w:jc w:val="left"/>
              <w:rPr>
                <w:sz w:val="20"/>
                <w:szCs w:val="20"/>
              </w:rPr>
            </w:pPr>
          </w:p>
        </w:tc>
        <w:tc>
          <w:tcPr>
            <w:tcW w:w="867" w:type="pct"/>
            <w:gridSpan w:val="2"/>
            <w:shd w:val="clear" w:color="auto" w:fill="B6DDE8" w:themeFill="accent5" w:themeFillTint="66"/>
            <w:vAlign w:val="center"/>
          </w:tcPr>
          <w:p w14:paraId="69C43274" w14:textId="4894C196" w:rsidR="00FF3306" w:rsidRPr="00F72B2C" w:rsidRDefault="00FF3306"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Opposites &gt;</w:t>
            </w:r>
          </w:p>
        </w:tc>
        <w:tc>
          <w:tcPr>
            <w:tcW w:w="861" w:type="pct"/>
            <w:shd w:val="clear" w:color="auto" w:fill="B6DDE8" w:themeFill="accent5" w:themeFillTint="66"/>
            <w:vAlign w:val="center"/>
          </w:tcPr>
          <w:p w14:paraId="26D07AE3" w14:textId="0B3F2E29" w:rsidR="00FF3306" w:rsidRPr="00F72B2C" w:rsidRDefault="00FF3306"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 xml:space="preserve">*Dispute </w:t>
            </w:r>
          </w:p>
        </w:tc>
        <w:tc>
          <w:tcPr>
            <w:tcW w:w="832" w:type="pct"/>
            <w:gridSpan w:val="2"/>
            <w:shd w:val="clear" w:color="auto" w:fill="B6DDE8" w:themeFill="accent5" w:themeFillTint="66"/>
            <w:vAlign w:val="center"/>
          </w:tcPr>
          <w:p w14:paraId="27071BC6" w14:textId="11DAA141" w:rsidR="00FF3306" w:rsidRPr="00F72B2C" w:rsidRDefault="00FF3306"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*Counter</w:t>
            </w:r>
          </w:p>
        </w:tc>
        <w:tc>
          <w:tcPr>
            <w:tcW w:w="792" w:type="pct"/>
            <w:shd w:val="clear" w:color="auto" w:fill="B6DDE8" w:themeFill="accent5" w:themeFillTint="66"/>
          </w:tcPr>
          <w:p w14:paraId="56C15571" w14:textId="0B690399" w:rsidR="00FF3306" w:rsidRPr="00F72B2C" w:rsidRDefault="00FF3306"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*Differ</w:t>
            </w:r>
          </w:p>
        </w:tc>
        <w:tc>
          <w:tcPr>
            <w:tcW w:w="687" w:type="pct"/>
            <w:shd w:val="clear" w:color="auto" w:fill="B6DDE8" w:themeFill="accent5" w:themeFillTint="66"/>
            <w:vAlign w:val="center"/>
          </w:tcPr>
          <w:p w14:paraId="51F7BA13" w14:textId="77777777" w:rsidR="00FF3306" w:rsidRPr="00F72B2C" w:rsidRDefault="00FF3306"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FF3306" w:rsidRPr="00F72B2C" w14:paraId="783747AF" w14:textId="77777777" w:rsidTr="00BE10D7">
        <w:tc>
          <w:tcPr>
            <w:cnfStyle w:val="001000000000" w:firstRow="0" w:lastRow="0" w:firstColumn="1" w:lastColumn="0" w:oddVBand="0" w:evenVBand="0" w:oddHBand="0" w:evenHBand="0" w:firstRowFirstColumn="0" w:firstRowLastColumn="0" w:lastRowFirstColumn="0" w:lastRowLastColumn="0"/>
            <w:tcW w:w="961" w:type="pct"/>
            <w:vMerge/>
            <w:shd w:val="clear" w:color="auto" w:fill="CCC0D9" w:themeFill="accent4" w:themeFillTint="66"/>
            <w:vAlign w:val="center"/>
          </w:tcPr>
          <w:p w14:paraId="07DBD509" w14:textId="77777777" w:rsidR="00FF3306" w:rsidRPr="00F72B2C" w:rsidRDefault="00FF3306" w:rsidP="00353DD1">
            <w:pPr>
              <w:spacing w:line="240" w:lineRule="auto"/>
              <w:ind w:firstLine="0"/>
              <w:jc w:val="left"/>
              <w:rPr>
                <w:sz w:val="20"/>
                <w:szCs w:val="20"/>
              </w:rPr>
            </w:pPr>
          </w:p>
        </w:tc>
        <w:tc>
          <w:tcPr>
            <w:tcW w:w="867" w:type="pct"/>
            <w:gridSpan w:val="2"/>
            <w:shd w:val="clear" w:color="auto" w:fill="FBD4B4" w:themeFill="accent6" w:themeFillTint="66"/>
            <w:vAlign w:val="center"/>
          </w:tcPr>
          <w:p w14:paraId="17885C24" w14:textId="53D19EFA" w:rsidR="00FF3306" w:rsidRPr="00F72B2C" w:rsidRDefault="00FF3306"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Avoid</w:t>
            </w:r>
          </w:p>
        </w:tc>
        <w:tc>
          <w:tcPr>
            <w:tcW w:w="861" w:type="pct"/>
            <w:vAlign w:val="center"/>
          </w:tcPr>
          <w:p w14:paraId="65438873" w14:textId="6AF4FB9F" w:rsidR="00FF3306" w:rsidRPr="00F72B2C" w:rsidRDefault="00FF3306"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Believe</w:t>
            </w:r>
          </w:p>
        </w:tc>
        <w:tc>
          <w:tcPr>
            <w:tcW w:w="832" w:type="pct"/>
            <w:gridSpan w:val="2"/>
            <w:vAlign w:val="center"/>
          </w:tcPr>
          <w:p w14:paraId="6AD68688" w14:textId="4C467386" w:rsidR="00FF3306" w:rsidRPr="00F72B2C" w:rsidRDefault="005C323E"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Think</w:t>
            </w:r>
          </w:p>
        </w:tc>
        <w:tc>
          <w:tcPr>
            <w:tcW w:w="792" w:type="pct"/>
          </w:tcPr>
          <w:p w14:paraId="42F3F8AE" w14:textId="77777777" w:rsidR="00FF3306" w:rsidRPr="00F72B2C" w:rsidRDefault="00FF3306"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687" w:type="pct"/>
            <w:vAlign w:val="center"/>
          </w:tcPr>
          <w:p w14:paraId="24980CFF" w14:textId="77777777" w:rsidR="00FF3306" w:rsidRPr="00F72B2C" w:rsidRDefault="00FF3306"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C97132" w:rsidRPr="00F72B2C" w14:paraId="15CD1A3E" w14:textId="581F2341" w:rsidTr="00BE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vMerge w:val="restart"/>
            <w:shd w:val="clear" w:color="auto" w:fill="CCC0D9" w:themeFill="accent4" w:themeFillTint="66"/>
            <w:vAlign w:val="center"/>
          </w:tcPr>
          <w:p w14:paraId="24B83C75" w14:textId="77777777" w:rsidR="00C97132" w:rsidRPr="00F72B2C" w:rsidRDefault="00C97132" w:rsidP="00353DD1">
            <w:pPr>
              <w:spacing w:line="240" w:lineRule="auto"/>
              <w:ind w:firstLine="0"/>
              <w:jc w:val="left"/>
              <w:rPr>
                <w:sz w:val="20"/>
                <w:szCs w:val="20"/>
              </w:rPr>
            </w:pPr>
            <w:r w:rsidRPr="00F72B2C">
              <w:rPr>
                <w:sz w:val="20"/>
                <w:szCs w:val="20"/>
              </w:rPr>
              <w:t>Research</w:t>
            </w:r>
          </w:p>
        </w:tc>
        <w:tc>
          <w:tcPr>
            <w:tcW w:w="867" w:type="pct"/>
            <w:gridSpan w:val="2"/>
            <w:vAlign w:val="center"/>
          </w:tcPr>
          <w:p w14:paraId="4AF41B50" w14:textId="77777777" w:rsidR="00C97132" w:rsidRPr="00F72B2C" w:rsidRDefault="00C97132"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Investigate</w:t>
            </w:r>
          </w:p>
        </w:tc>
        <w:tc>
          <w:tcPr>
            <w:tcW w:w="861" w:type="pct"/>
            <w:vAlign w:val="center"/>
          </w:tcPr>
          <w:p w14:paraId="11C8987E" w14:textId="77777777" w:rsidR="00C97132" w:rsidRPr="00F72B2C" w:rsidRDefault="00C97132"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Examine</w:t>
            </w:r>
          </w:p>
        </w:tc>
        <w:tc>
          <w:tcPr>
            <w:tcW w:w="832" w:type="pct"/>
            <w:gridSpan w:val="2"/>
            <w:vAlign w:val="center"/>
          </w:tcPr>
          <w:p w14:paraId="578ED7BD" w14:textId="77777777" w:rsidR="00C97132" w:rsidRPr="00F72B2C" w:rsidRDefault="00C97132"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Explore</w:t>
            </w:r>
          </w:p>
        </w:tc>
        <w:tc>
          <w:tcPr>
            <w:tcW w:w="792" w:type="pct"/>
            <w:vAlign w:val="center"/>
          </w:tcPr>
          <w:p w14:paraId="1DF74FD2" w14:textId="77777777" w:rsidR="00C97132" w:rsidRPr="00F72B2C" w:rsidRDefault="00C97132"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Consider</w:t>
            </w:r>
          </w:p>
        </w:tc>
        <w:tc>
          <w:tcPr>
            <w:tcW w:w="687" w:type="pct"/>
            <w:vAlign w:val="center"/>
          </w:tcPr>
          <w:p w14:paraId="33BDDCD1" w14:textId="77777777" w:rsidR="00C97132" w:rsidRPr="00F72B2C" w:rsidRDefault="00C97132"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Study</w:t>
            </w:r>
          </w:p>
        </w:tc>
      </w:tr>
      <w:tr w:rsidR="00C97132" w:rsidRPr="00F72B2C" w14:paraId="5C5D2E1D" w14:textId="77777777" w:rsidTr="00BE10D7">
        <w:tc>
          <w:tcPr>
            <w:cnfStyle w:val="001000000000" w:firstRow="0" w:lastRow="0" w:firstColumn="1" w:lastColumn="0" w:oddVBand="0" w:evenVBand="0" w:oddHBand="0" w:evenHBand="0" w:firstRowFirstColumn="0" w:firstRowLastColumn="0" w:lastRowFirstColumn="0" w:lastRowLastColumn="0"/>
            <w:tcW w:w="961" w:type="pct"/>
            <w:vMerge/>
            <w:shd w:val="clear" w:color="auto" w:fill="CCC0D9" w:themeFill="accent4" w:themeFillTint="66"/>
            <w:vAlign w:val="center"/>
          </w:tcPr>
          <w:p w14:paraId="5599C01E" w14:textId="77777777" w:rsidR="00C97132" w:rsidRPr="00F72B2C" w:rsidRDefault="00C97132" w:rsidP="00353DD1">
            <w:pPr>
              <w:spacing w:line="240" w:lineRule="auto"/>
              <w:ind w:firstLine="0"/>
              <w:jc w:val="left"/>
              <w:rPr>
                <w:sz w:val="20"/>
                <w:szCs w:val="20"/>
              </w:rPr>
            </w:pPr>
          </w:p>
        </w:tc>
        <w:tc>
          <w:tcPr>
            <w:tcW w:w="867" w:type="pct"/>
            <w:gridSpan w:val="2"/>
            <w:vAlign w:val="center"/>
          </w:tcPr>
          <w:p w14:paraId="066C3092" w14:textId="39AF89FC" w:rsidR="00C97132" w:rsidRPr="00F72B2C" w:rsidRDefault="00C97132"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 xml:space="preserve">Analysis </w:t>
            </w:r>
          </w:p>
        </w:tc>
        <w:tc>
          <w:tcPr>
            <w:tcW w:w="861" w:type="pct"/>
            <w:vAlign w:val="center"/>
          </w:tcPr>
          <w:p w14:paraId="7F8FF334" w14:textId="0D5033E7" w:rsidR="00C97132" w:rsidRPr="00F72B2C" w:rsidRDefault="00C97132"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 xml:space="preserve">Report </w:t>
            </w:r>
          </w:p>
        </w:tc>
        <w:tc>
          <w:tcPr>
            <w:tcW w:w="832" w:type="pct"/>
            <w:gridSpan w:val="2"/>
            <w:vAlign w:val="center"/>
          </w:tcPr>
          <w:p w14:paraId="50720B80" w14:textId="77777777" w:rsidR="00C97132" w:rsidRPr="00F72B2C" w:rsidRDefault="00C97132"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792" w:type="pct"/>
            <w:vAlign w:val="center"/>
          </w:tcPr>
          <w:p w14:paraId="422FFFD9" w14:textId="77777777" w:rsidR="00C97132" w:rsidRPr="00F72B2C" w:rsidRDefault="00C97132"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687" w:type="pct"/>
            <w:vAlign w:val="center"/>
          </w:tcPr>
          <w:p w14:paraId="4676F336" w14:textId="77777777" w:rsidR="00C97132" w:rsidRPr="00F72B2C" w:rsidRDefault="00C97132"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853571" w:rsidRPr="00F72B2C" w14:paraId="5A049CC4" w14:textId="77777777" w:rsidTr="00BE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shd w:val="clear" w:color="auto" w:fill="CCC0D9" w:themeFill="accent4" w:themeFillTint="66"/>
            <w:vAlign w:val="center"/>
          </w:tcPr>
          <w:p w14:paraId="36E8BF70" w14:textId="2DAFE631" w:rsidR="00853571" w:rsidRPr="00F72B2C" w:rsidRDefault="00853571" w:rsidP="00353DD1">
            <w:pPr>
              <w:spacing w:line="240" w:lineRule="auto"/>
              <w:ind w:firstLine="0"/>
              <w:jc w:val="left"/>
              <w:rPr>
                <w:sz w:val="20"/>
                <w:szCs w:val="20"/>
              </w:rPr>
            </w:pPr>
            <w:r>
              <w:rPr>
                <w:sz w:val="20"/>
                <w:szCs w:val="20"/>
              </w:rPr>
              <w:t>Result</w:t>
            </w:r>
          </w:p>
        </w:tc>
        <w:tc>
          <w:tcPr>
            <w:tcW w:w="867" w:type="pct"/>
            <w:gridSpan w:val="2"/>
            <w:vAlign w:val="center"/>
          </w:tcPr>
          <w:p w14:paraId="1A050681" w14:textId="501EAE68" w:rsidR="00853571" w:rsidRPr="00F72B2C" w:rsidRDefault="00853571"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Effect</w:t>
            </w:r>
          </w:p>
        </w:tc>
        <w:tc>
          <w:tcPr>
            <w:tcW w:w="861" w:type="pct"/>
            <w:vAlign w:val="center"/>
          </w:tcPr>
          <w:p w14:paraId="4DD73C08" w14:textId="77777777" w:rsidR="00853571" w:rsidRDefault="00853571"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832" w:type="pct"/>
            <w:gridSpan w:val="2"/>
            <w:vAlign w:val="center"/>
          </w:tcPr>
          <w:p w14:paraId="5526EF73" w14:textId="77777777" w:rsidR="00853571" w:rsidRPr="00F72B2C" w:rsidRDefault="00853571"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792" w:type="pct"/>
            <w:vAlign w:val="center"/>
          </w:tcPr>
          <w:p w14:paraId="51BCE1DF" w14:textId="77777777" w:rsidR="00853571" w:rsidRPr="00F72B2C" w:rsidRDefault="00853571"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687" w:type="pct"/>
            <w:vAlign w:val="center"/>
          </w:tcPr>
          <w:p w14:paraId="563212B5" w14:textId="77777777" w:rsidR="00853571" w:rsidRPr="00F72B2C" w:rsidRDefault="00853571"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BB4791" w:rsidRPr="00F72B2C" w14:paraId="176DDE71" w14:textId="77777777" w:rsidTr="00BE10D7">
        <w:tc>
          <w:tcPr>
            <w:cnfStyle w:val="001000000000" w:firstRow="0" w:lastRow="0" w:firstColumn="1" w:lastColumn="0" w:oddVBand="0" w:evenVBand="0" w:oddHBand="0" w:evenHBand="0" w:firstRowFirstColumn="0" w:firstRowLastColumn="0" w:lastRowFirstColumn="0" w:lastRowLastColumn="0"/>
            <w:tcW w:w="961" w:type="pct"/>
            <w:shd w:val="clear" w:color="auto" w:fill="CCC0D9" w:themeFill="accent4" w:themeFillTint="66"/>
            <w:vAlign w:val="center"/>
          </w:tcPr>
          <w:p w14:paraId="4324E0E1" w14:textId="3733221C" w:rsidR="00BB4791" w:rsidRPr="00F72B2C" w:rsidRDefault="00BB4791" w:rsidP="00353DD1">
            <w:pPr>
              <w:spacing w:line="240" w:lineRule="auto"/>
              <w:ind w:firstLine="0"/>
              <w:jc w:val="left"/>
              <w:rPr>
                <w:sz w:val="20"/>
                <w:szCs w:val="20"/>
              </w:rPr>
            </w:pPr>
            <w:r w:rsidRPr="00F72B2C">
              <w:rPr>
                <w:sz w:val="20"/>
                <w:szCs w:val="20"/>
              </w:rPr>
              <w:t xml:space="preserve">Impact </w:t>
            </w:r>
          </w:p>
        </w:tc>
        <w:tc>
          <w:tcPr>
            <w:tcW w:w="867" w:type="pct"/>
            <w:gridSpan w:val="2"/>
            <w:vAlign w:val="center"/>
          </w:tcPr>
          <w:p w14:paraId="78D40222" w14:textId="145CAC80" w:rsidR="00BB4791" w:rsidRPr="00F72B2C" w:rsidRDefault="00BB4791"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 xml:space="preserve">Influence </w:t>
            </w:r>
          </w:p>
        </w:tc>
        <w:tc>
          <w:tcPr>
            <w:tcW w:w="861" w:type="pct"/>
            <w:vAlign w:val="center"/>
          </w:tcPr>
          <w:p w14:paraId="7862CFDA" w14:textId="19F78345" w:rsidR="00BB4791" w:rsidRPr="00F72B2C" w:rsidRDefault="00853571"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r w:rsidR="00BB4791" w:rsidRPr="00F72B2C">
              <w:rPr>
                <w:sz w:val="20"/>
                <w:szCs w:val="20"/>
              </w:rPr>
              <w:t xml:space="preserve">ffect </w:t>
            </w:r>
          </w:p>
        </w:tc>
        <w:tc>
          <w:tcPr>
            <w:tcW w:w="832" w:type="pct"/>
            <w:gridSpan w:val="2"/>
            <w:vAlign w:val="center"/>
          </w:tcPr>
          <w:p w14:paraId="01CCE7FE" w14:textId="1D7A27F8" w:rsidR="00BB4791" w:rsidRPr="00F72B2C" w:rsidRDefault="00BB4791"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 xml:space="preserve">Stimulate </w:t>
            </w:r>
          </w:p>
        </w:tc>
        <w:tc>
          <w:tcPr>
            <w:tcW w:w="792" w:type="pct"/>
            <w:vAlign w:val="center"/>
          </w:tcPr>
          <w:p w14:paraId="2CECB040" w14:textId="725C1CB9" w:rsidR="00BB4791" w:rsidRPr="00F72B2C" w:rsidRDefault="00BB4791"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Encourage</w:t>
            </w:r>
          </w:p>
        </w:tc>
        <w:tc>
          <w:tcPr>
            <w:tcW w:w="687" w:type="pct"/>
            <w:vAlign w:val="center"/>
          </w:tcPr>
          <w:p w14:paraId="0F324AD7" w14:textId="77777777" w:rsidR="00BB4791" w:rsidRPr="00F72B2C" w:rsidRDefault="00BB4791"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AA6C87" w:rsidRPr="00F72B2C" w14:paraId="6E5F95AF" w14:textId="162933C6" w:rsidTr="00BE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shd w:val="clear" w:color="auto" w:fill="CCC0D9" w:themeFill="accent4" w:themeFillTint="66"/>
            <w:vAlign w:val="center"/>
          </w:tcPr>
          <w:p w14:paraId="7874679B" w14:textId="77777777" w:rsidR="00AA6C87" w:rsidRPr="00F72B2C" w:rsidRDefault="00AA6C87" w:rsidP="00353DD1">
            <w:pPr>
              <w:spacing w:line="240" w:lineRule="auto"/>
              <w:ind w:firstLine="0"/>
              <w:jc w:val="left"/>
              <w:rPr>
                <w:sz w:val="20"/>
                <w:szCs w:val="20"/>
              </w:rPr>
            </w:pPr>
            <w:r w:rsidRPr="00F72B2C">
              <w:rPr>
                <w:sz w:val="20"/>
                <w:szCs w:val="20"/>
              </w:rPr>
              <w:t>Suggest</w:t>
            </w:r>
          </w:p>
        </w:tc>
        <w:tc>
          <w:tcPr>
            <w:tcW w:w="867" w:type="pct"/>
            <w:gridSpan w:val="2"/>
            <w:vAlign w:val="center"/>
          </w:tcPr>
          <w:p w14:paraId="24B79029" w14:textId="77777777" w:rsidR="00AA6C87" w:rsidRPr="00F72B2C" w:rsidRDefault="00AA6C87"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Propose</w:t>
            </w:r>
          </w:p>
        </w:tc>
        <w:tc>
          <w:tcPr>
            <w:tcW w:w="861" w:type="pct"/>
            <w:vAlign w:val="center"/>
          </w:tcPr>
          <w:p w14:paraId="31222945" w14:textId="77777777" w:rsidR="00AA6C87" w:rsidRPr="00F72B2C" w:rsidRDefault="00AA6C87"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Recommend</w:t>
            </w:r>
          </w:p>
        </w:tc>
        <w:tc>
          <w:tcPr>
            <w:tcW w:w="832" w:type="pct"/>
            <w:gridSpan w:val="2"/>
            <w:vAlign w:val="center"/>
          </w:tcPr>
          <w:p w14:paraId="069614A3" w14:textId="77777777" w:rsidR="00AA6C87" w:rsidRPr="00F72B2C" w:rsidRDefault="00AA6C87"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Indicate</w:t>
            </w:r>
          </w:p>
        </w:tc>
        <w:tc>
          <w:tcPr>
            <w:tcW w:w="792" w:type="pct"/>
            <w:vAlign w:val="center"/>
          </w:tcPr>
          <w:p w14:paraId="46A25927" w14:textId="77777777" w:rsidR="00AA6C87" w:rsidRPr="00F72B2C" w:rsidRDefault="00AA6C87"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Advise</w:t>
            </w:r>
          </w:p>
        </w:tc>
        <w:tc>
          <w:tcPr>
            <w:tcW w:w="687" w:type="pct"/>
            <w:vAlign w:val="center"/>
          </w:tcPr>
          <w:p w14:paraId="5D42FFE3" w14:textId="77777777" w:rsidR="00AA6C87" w:rsidRPr="00F72B2C" w:rsidRDefault="00AA6C87"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Denote</w:t>
            </w:r>
          </w:p>
        </w:tc>
      </w:tr>
      <w:tr w:rsidR="00AA6C87" w:rsidRPr="00F72B2C" w14:paraId="67694181" w14:textId="23194441" w:rsidTr="00BE10D7">
        <w:tc>
          <w:tcPr>
            <w:cnfStyle w:val="001000000000" w:firstRow="0" w:lastRow="0" w:firstColumn="1" w:lastColumn="0" w:oddVBand="0" w:evenVBand="0" w:oddHBand="0" w:evenHBand="0" w:firstRowFirstColumn="0" w:firstRowLastColumn="0" w:lastRowFirstColumn="0" w:lastRowLastColumn="0"/>
            <w:tcW w:w="961" w:type="pct"/>
            <w:shd w:val="clear" w:color="auto" w:fill="CCC0D9" w:themeFill="accent4" w:themeFillTint="66"/>
            <w:vAlign w:val="center"/>
          </w:tcPr>
          <w:p w14:paraId="1A6238F8" w14:textId="0BBD79A1" w:rsidR="00AA6C87" w:rsidRPr="00F72B2C" w:rsidRDefault="00AA6C87" w:rsidP="00353DD1">
            <w:pPr>
              <w:spacing w:line="240" w:lineRule="auto"/>
              <w:ind w:firstLine="0"/>
              <w:jc w:val="left"/>
              <w:rPr>
                <w:sz w:val="20"/>
                <w:szCs w:val="20"/>
              </w:rPr>
            </w:pPr>
            <w:r w:rsidRPr="00F72B2C">
              <w:rPr>
                <w:sz w:val="20"/>
                <w:szCs w:val="20"/>
              </w:rPr>
              <w:t xml:space="preserve">Discover </w:t>
            </w:r>
          </w:p>
        </w:tc>
        <w:tc>
          <w:tcPr>
            <w:tcW w:w="867" w:type="pct"/>
            <w:gridSpan w:val="2"/>
            <w:vAlign w:val="center"/>
          </w:tcPr>
          <w:p w14:paraId="45304AED" w14:textId="7EEFD074" w:rsidR="00AA6C87" w:rsidRPr="00F72B2C" w:rsidRDefault="00AA6C87"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Ascertain</w:t>
            </w:r>
          </w:p>
        </w:tc>
        <w:tc>
          <w:tcPr>
            <w:tcW w:w="861" w:type="pct"/>
            <w:vAlign w:val="center"/>
          </w:tcPr>
          <w:p w14:paraId="68B72EDA" w14:textId="511CF078" w:rsidR="00AA6C87" w:rsidRPr="00F72B2C" w:rsidRDefault="00AA6C87"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Learn</w:t>
            </w:r>
          </w:p>
        </w:tc>
        <w:tc>
          <w:tcPr>
            <w:tcW w:w="832" w:type="pct"/>
            <w:gridSpan w:val="2"/>
            <w:vAlign w:val="center"/>
          </w:tcPr>
          <w:p w14:paraId="568D4958" w14:textId="5E420F06" w:rsidR="00AA6C87" w:rsidRPr="00F72B2C" w:rsidRDefault="00AA6C87"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Discern</w:t>
            </w:r>
          </w:p>
        </w:tc>
        <w:tc>
          <w:tcPr>
            <w:tcW w:w="792" w:type="pct"/>
            <w:vAlign w:val="center"/>
          </w:tcPr>
          <w:p w14:paraId="0543A13E" w14:textId="55BAD3DB" w:rsidR="00AA6C87" w:rsidRPr="00F72B2C" w:rsidRDefault="00AA6C87"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 xml:space="preserve">Find </w:t>
            </w:r>
          </w:p>
        </w:tc>
        <w:tc>
          <w:tcPr>
            <w:tcW w:w="687" w:type="pct"/>
            <w:vAlign w:val="center"/>
          </w:tcPr>
          <w:p w14:paraId="0E8D8D0F" w14:textId="77777777" w:rsidR="00AA6C87" w:rsidRPr="00F72B2C" w:rsidRDefault="00AA6C87"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AA6C87" w:rsidRPr="00F72B2C" w14:paraId="31F4A5C2" w14:textId="77777777" w:rsidTr="00BE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shd w:val="clear" w:color="auto" w:fill="CCC0D9" w:themeFill="accent4" w:themeFillTint="66"/>
            <w:vAlign w:val="center"/>
          </w:tcPr>
          <w:p w14:paraId="47F7E64F" w14:textId="1187D9A6" w:rsidR="00AA6C87" w:rsidRPr="00F72B2C" w:rsidRDefault="00AA6C87" w:rsidP="00353DD1">
            <w:pPr>
              <w:spacing w:line="240" w:lineRule="auto"/>
              <w:ind w:firstLine="0"/>
              <w:jc w:val="left"/>
              <w:rPr>
                <w:sz w:val="20"/>
                <w:szCs w:val="20"/>
              </w:rPr>
            </w:pPr>
            <w:r w:rsidRPr="00F72B2C">
              <w:rPr>
                <w:sz w:val="20"/>
                <w:szCs w:val="20"/>
              </w:rPr>
              <w:t>Goal</w:t>
            </w:r>
          </w:p>
        </w:tc>
        <w:tc>
          <w:tcPr>
            <w:tcW w:w="867" w:type="pct"/>
            <w:gridSpan w:val="2"/>
            <w:vAlign w:val="center"/>
          </w:tcPr>
          <w:p w14:paraId="0C4B3001" w14:textId="66E37C3F" w:rsidR="00AA6C87" w:rsidRPr="00F72B2C" w:rsidRDefault="00AA6C87"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 xml:space="preserve">Intent </w:t>
            </w:r>
          </w:p>
        </w:tc>
        <w:tc>
          <w:tcPr>
            <w:tcW w:w="861" w:type="pct"/>
            <w:vAlign w:val="center"/>
          </w:tcPr>
          <w:p w14:paraId="3B7D5EE5" w14:textId="40225BBF" w:rsidR="00AA6C87" w:rsidRPr="00F72B2C" w:rsidRDefault="00AA6C87"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Focus</w:t>
            </w:r>
          </w:p>
        </w:tc>
        <w:tc>
          <w:tcPr>
            <w:tcW w:w="832" w:type="pct"/>
            <w:gridSpan w:val="2"/>
            <w:vAlign w:val="center"/>
          </w:tcPr>
          <w:p w14:paraId="53AE4A70" w14:textId="4ABCAECB" w:rsidR="00AA6C87" w:rsidRPr="00F72B2C" w:rsidRDefault="00AA6C87"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 xml:space="preserve">Aim </w:t>
            </w:r>
          </w:p>
        </w:tc>
        <w:tc>
          <w:tcPr>
            <w:tcW w:w="792" w:type="pct"/>
            <w:vAlign w:val="center"/>
          </w:tcPr>
          <w:p w14:paraId="606A7CF5" w14:textId="3BB1527A" w:rsidR="00AA6C87" w:rsidRPr="00F72B2C" w:rsidRDefault="00AA6C87"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 xml:space="preserve">Objective </w:t>
            </w:r>
          </w:p>
        </w:tc>
        <w:tc>
          <w:tcPr>
            <w:tcW w:w="687" w:type="pct"/>
            <w:vAlign w:val="center"/>
          </w:tcPr>
          <w:p w14:paraId="7048ADC6" w14:textId="60DC1B28" w:rsidR="00AA6C87" w:rsidRPr="00F72B2C" w:rsidRDefault="00AA6C87"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Purpose</w:t>
            </w:r>
          </w:p>
        </w:tc>
      </w:tr>
      <w:tr w:rsidR="000A0632" w:rsidRPr="00F72B2C" w14:paraId="1BB12A87" w14:textId="77777777" w:rsidTr="000A0632">
        <w:tc>
          <w:tcPr>
            <w:cnfStyle w:val="001000000000" w:firstRow="0" w:lastRow="0" w:firstColumn="1" w:lastColumn="0" w:oddVBand="0" w:evenVBand="0" w:oddHBand="0" w:evenHBand="0" w:firstRowFirstColumn="0" w:firstRowLastColumn="0" w:lastRowFirstColumn="0" w:lastRowLastColumn="0"/>
            <w:tcW w:w="961" w:type="pct"/>
            <w:shd w:val="clear" w:color="auto" w:fill="FABF8F" w:themeFill="accent6" w:themeFillTint="99"/>
          </w:tcPr>
          <w:p w14:paraId="67AA7D83" w14:textId="1C9A3550" w:rsidR="000A0632" w:rsidRPr="00F72B2C" w:rsidRDefault="000A0632" w:rsidP="00353DD1">
            <w:pPr>
              <w:spacing w:line="240" w:lineRule="auto"/>
              <w:ind w:firstLine="0"/>
              <w:jc w:val="left"/>
              <w:rPr>
                <w:b w:val="0"/>
                <w:bCs w:val="0"/>
                <w:sz w:val="20"/>
                <w:szCs w:val="20"/>
              </w:rPr>
            </w:pPr>
            <w:r w:rsidRPr="00F72B2C">
              <w:rPr>
                <w:sz w:val="20"/>
                <w:szCs w:val="20"/>
              </w:rPr>
              <w:t xml:space="preserve">Please </w:t>
            </w:r>
            <w:r>
              <w:rPr>
                <w:sz w:val="20"/>
                <w:szCs w:val="20"/>
              </w:rPr>
              <w:t>avoid</w:t>
            </w:r>
            <w:r w:rsidRPr="00F72B2C">
              <w:rPr>
                <w:sz w:val="20"/>
                <w:szCs w:val="20"/>
              </w:rPr>
              <w:t xml:space="preserve"> </w:t>
            </w:r>
            <w:r>
              <w:rPr>
                <w:sz w:val="20"/>
                <w:szCs w:val="20"/>
              </w:rPr>
              <w:t xml:space="preserve">the over use of: </w:t>
            </w:r>
          </w:p>
        </w:tc>
        <w:tc>
          <w:tcPr>
            <w:tcW w:w="4039" w:type="pct"/>
            <w:gridSpan w:val="7"/>
            <w:shd w:val="clear" w:color="auto" w:fill="B6DDE8" w:themeFill="accent5" w:themeFillTint="66"/>
            <w:vAlign w:val="center"/>
          </w:tcPr>
          <w:p w14:paraId="5CCF670C" w14:textId="7077EB1A" w:rsidR="000A0632" w:rsidRPr="000A0632" w:rsidRDefault="000A0632" w:rsidP="00353DD1">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shd w:val="clear" w:color="auto" w:fill="B6DDE8" w:themeFill="accent5" w:themeFillTint="66"/>
              </w:rPr>
              <w:t>U</w:t>
            </w:r>
            <w:r w:rsidRPr="000A0632">
              <w:rPr>
                <w:sz w:val="20"/>
                <w:szCs w:val="20"/>
                <w:shd w:val="clear" w:color="auto" w:fill="B6DDE8" w:themeFill="accent5" w:themeFillTint="66"/>
              </w:rPr>
              <w:t>se a more accurate word to convey your intent found to the right</w:t>
            </w:r>
          </w:p>
        </w:tc>
      </w:tr>
      <w:tr w:rsidR="000A0632" w:rsidRPr="00F72B2C" w14:paraId="241CAD94" w14:textId="77777777" w:rsidTr="000A0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shd w:val="clear" w:color="auto" w:fill="FBD4B4" w:themeFill="accent6" w:themeFillTint="66"/>
            <w:vAlign w:val="center"/>
          </w:tcPr>
          <w:p w14:paraId="29987AF8" w14:textId="5041E27D" w:rsidR="00C97132" w:rsidRPr="00F72B2C" w:rsidRDefault="00C97132" w:rsidP="00353DD1">
            <w:pPr>
              <w:spacing w:line="240" w:lineRule="auto"/>
              <w:ind w:firstLine="0"/>
              <w:jc w:val="center"/>
              <w:rPr>
                <w:sz w:val="20"/>
                <w:szCs w:val="20"/>
              </w:rPr>
            </w:pPr>
            <w:r w:rsidRPr="00F72B2C">
              <w:rPr>
                <w:sz w:val="20"/>
                <w:szCs w:val="20"/>
              </w:rPr>
              <w:t>Reveal</w:t>
            </w:r>
          </w:p>
        </w:tc>
        <w:tc>
          <w:tcPr>
            <w:tcW w:w="867" w:type="pct"/>
            <w:gridSpan w:val="2"/>
            <w:shd w:val="clear" w:color="auto" w:fill="B6DDE8" w:themeFill="accent5" w:themeFillTint="66"/>
            <w:vAlign w:val="center"/>
          </w:tcPr>
          <w:p w14:paraId="59B24812" w14:textId="0A9AB519" w:rsidR="00C97132" w:rsidRPr="00F72B2C" w:rsidRDefault="00C97132" w:rsidP="00353DD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Disclose</w:t>
            </w:r>
          </w:p>
        </w:tc>
        <w:tc>
          <w:tcPr>
            <w:tcW w:w="861" w:type="pct"/>
            <w:shd w:val="clear" w:color="auto" w:fill="B6DDE8" w:themeFill="accent5" w:themeFillTint="66"/>
            <w:vAlign w:val="center"/>
          </w:tcPr>
          <w:p w14:paraId="2783BB6C" w14:textId="6C2231D5" w:rsidR="00C97132" w:rsidRPr="00F72B2C" w:rsidRDefault="00C97132" w:rsidP="00353DD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Divulge</w:t>
            </w:r>
          </w:p>
        </w:tc>
        <w:tc>
          <w:tcPr>
            <w:tcW w:w="832" w:type="pct"/>
            <w:gridSpan w:val="2"/>
            <w:shd w:val="clear" w:color="auto" w:fill="B6DDE8" w:themeFill="accent5" w:themeFillTint="66"/>
            <w:vAlign w:val="center"/>
          </w:tcPr>
          <w:p w14:paraId="03B9F2C2" w14:textId="76DEA998" w:rsidR="00C97132" w:rsidRPr="00F72B2C" w:rsidRDefault="00C97132" w:rsidP="00353DD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Expose</w:t>
            </w:r>
          </w:p>
        </w:tc>
        <w:tc>
          <w:tcPr>
            <w:tcW w:w="792" w:type="pct"/>
            <w:shd w:val="clear" w:color="auto" w:fill="B6DDE8" w:themeFill="accent5" w:themeFillTint="66"/>
            <w:vAlign w:val="center"/>
          </w:tcPr>
          <w:p w14:paraId="0FA2ABC2" w14:textId="571D17BD" w:rsidR="00C97132" w:rsidRPr="00F72B2C" w:rsidRDefault="00C97132" w:rsidP="00353DD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Uncover</w:t>
            </w:r>
          </w:p>
        </w:tc>
        <w:tc>
          <w:tcPr>
            <w:tcW w:w="687" w:type="pct"/>
            <w:shd w:val="clear" w:color="auto" w:fill="B6DDE8" w:themeFill="accent5" w:themeFillTint="66"/>
            <w:vAlign w:val="center"/>
          </w:tcPr>
          <w:p w14:paraId="6EA3FC8D" w14:textId="1224A0AE" w:rsidR="00C97132" w:rsidRPr="00F72B2C" w:rsidRDefault="00C97132" w:rsidP="00353DD1">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Show</w:t>
            </w:r>
          </w:p>
        </w:tc>
      </w:tr>
      <w:tr w:rsidR="00F72B2C" w:rsidRPr="00F72B2C" w14:paraId="316A9516" w14:textId="77777777" w:rsidTr="00FF6CD6">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FABF8F" w:themeFill="accent6" w:themeFillTint="99"/>
            <w:vAlign w:val="center"/>
          </w:tcPr>
          <w:p w14:paraId="7A65E0B6" w14:textId="6FAEFFA2" w:rsidR="00F72B2C" w:rsidRPr="00F72B2C" w:rsidRDefault="00F72B2C" w:rsidP="00353DD1">
            <w:pPr>
              <w:spacing w:line="240" w:lineRule="auto"/>
              <w:ind w:firstLine="0"/>
              <w:jc w:val="left"/>
              <w:rPr>
                <w:sz w:val="20"/>
                <w:szCs w:val="20"/>
              </w:rPr>
            </w:pPr>
            <w:r>
              <w:rPr>
                <w:sz w:val="20"/>
                <w:szCs w:val="20"/>
              </w:rPr>
              <w:t>Pay attention to when might is right</w:t>
            </w:r>
          </w:p>
        </w:tc>
      </w:tr>
      <w:tr w:rsidR="00F72B2C" w:rsidRPr="00F72B2C" w14:paraId="047EE676" w14:textId="268B014C" w:rsidTr="00BE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shd w:val="clear" w:color="auto" w:fill="CCC0D9" w:themeFill="accent4" w:themeFillTint="66"/>
            <w:vAlign w:val="center"/>
          </w:tcPr>
          <w:p w14:paraId="60E64747" w14:textId="2AD5C23D" w:rsidR="00F72B2C" w:rsidRPr="00F72B2C" w:rsidRDefault="00F72B2C" w:rsidP="00353DD1">
            <w:pPr>
              <w:spacing w:line="240" w:lineRule="auto"/>
              <w:ind w:firstLine="0"/>
              <w:jc w:val="left"/>
              <w:rPr>
                <w:sz w:val="20"/>
                <w:szCs w:val="20"/>
              </w:rPr>
            </w:pPr>
            <w:r w:rsidRPr="00F72B2C">
              <w:rPr>
                <w:sz w:val="20"/>
                <w:szCs w:val="20"/>
              </w:rPr>
              <w:t>Might</w:t>
            </w:r>
          </w:p>
        </w:tc>
        <w:tc>
          <w:tcPr>
            <w:tcW w:w="1728" w:type="pct"/>
            <w:gridSpan w:val="3"/>
            <w:shd w:val="clear" w:color="auto" w:fill="auto"/>
            <w:vAlign w:val="center"/>
          </w:tcPr>
          <w:p w14:paraId="0A5AE264" w14:textId="77777777" w:rsidR="00F72B2C" w:rsidRPr="00F72B2C" w:rsidRDefault="00F72B2C"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To indicate potential or probability</w:t>
            </w:r>
          </w:p>
        </w:tc>
        <w:tc>
          <w:tcPr>
            <w:tcW w:w="2311" w:type="pct"/>
            <w:gridSpan w:val="4"/>
            <w:shd w:val="clear" w:color="auto" w:fill="auto"/>
            <w:vAlign w:val="center"/>
          </w:tcPr>
          <w:p w14:paraId="7D496A45" w14:textId="10B48EF1" w:rsidR="00F72B2C" w:rsidRPr="00F72B2C" w:rsidRDefault="00F72B2C"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 xml:space="preserve">The </w:t>
            </w:r>
            <w:r>
              <w:rPr>
                <w:sz w:val="20"/>
                <w:szCs w:val="20"/>
              </w:rPr>
              <w:t>results</w:t>
            </w:r>
            <w:r w:rsidRPr="00F72B2C">
              <w:rPr>
                <w:sz w:val="20"/>
                <w:szCs w:val="20"/>
              </w:rPr>
              <w:t xml:space="preserve"> might indicate a need for…</w:t>
            </w:r>
          </w:p>
        </w:tc>
      </w:tr>
      <w:tr w:rsidR="00F72B2C" w:rsidRPr="00F72B2C" w14:paraId="0901EF87" w14:textId="2A215D54" w:rsidTr="00BE10D7">
        <w:tc>
          <w:tcPr>
            <w:cnfStyle w:val="001000000000" w:firstRow="0" w:lastRow="0" w:firstColumn="1" w:lastColumn="0" w:oddVBand="0" w:evenVBand="0" w:oddHBand="0" w:evenHBand="0" w:firstRowFirstColumn="0" w:firstRowLastColumn="0" w:lastRowFirstColumn="0" w:lastRowLastColumn="0"/>
            <w:tcW w:w="961" w:type="pct"/>
            <w:shd w:val="clear" w:color="auto" w:fill="CCC0D9" w:themeFill="accent4" w:themeFillTint="66"/>
            <w:vAlign w:val="center"/>
          </w:tcPr>
          <w:p w14:paraId="135BE70E" w14:textId="4DC5A3ED" w:rsidR="00F72B2C" w:rsidRPr="00F72B2C" w:rsidRDefault="00F72B2C" w:rsidP="00353DD1">
            <w:pPr>
              <w:spacing w:line="240" w:lineRule="auto"/>
              <w:ind w:firstLine="0"/>
              <w:jc w:val="left"/>
              <w:rPr>
                <w:sz w:val="20"/>
                <w:szCs w:val="20"/>
              </w:rPr>
            </w:pPr>
            <w:r w:rsidRPr="00F72B2C">
              <w:rPr>
                <w:sz w:val="20"/>
                <w:szCs w:val="20"/>
              </w:rPr>
              <w:t>May</w:t>
            </w:r>
          </w:p>
        </w:tc>
        <w:tc>
          <w:tcPr>
            <w:tcW w:w="1728" w:type="pct"/>
            <w:gridSpan w:val="3"/>
            <w:shd w:val="clear" w:color="auto" w:fill="auto"/>
            <w:vAlign w:val="center"/>
          </w:tcPr>
          <w:p w14:paraId="1AB02DDB" w14:textId="77777777" w:rsidR="00F72B2C" w:rsidRPr="00F72B2C" w:rsidRDefault="00F72B2C"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To indicate permission</w:t>
            </w:r>
          </w:p>
        </w:tc>
        <w:tc>
          <w:tcPr>
            <w:tcW w:w="2311" w:type="pct"/>
            <w:gridSpan w:val="4"/>
            <w:shd w:val="clear" w:color="auto" w:fill="auto"/>
            <w:vAlign w:val="center"/>
          </w:tcPr>
          <w:p w14:paraId="47BBC1AD" w14:textId="7DC30AA6" w:rsidR="00F72B2C" w:rsidRPr="00F72B2C" w:rsidRDefault="00F72B2C"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Participants may withdraw at any ti</w:t>
            </w:r>
            <w:r>
              <w:rPr>
                <w:sz w:val="20"/>
                <w:szCs w:val="20"/>
              </w:rPr>
              <w:t>me</w:t>
            </w:r>
          </w:p>
        </w:tc>
      </w:tr>
      <w:tr w:rsidR="00F72B2C" w:rsidRPr="00F72B2C" w14:paraId="7041AE12" w14:textId="4DA22AF1" w:rsidTr="00BE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shd w:val="clear" w:color="auto" w:fill="CCC0D9" w:themeFill="accent4" w:themeFillTint="66"/>
            <w:vAlign w:val="center"/>
          </w:tcPr>
          <w:p w14:paraId="2A4ED42D" w14:textId="45D5CCA0" w:rsidR="00F72B2C" w:rsidRPr="00F72B2C" w:rsidRDefault="00F72B2C" w:rsidP="00353DD1">
            <w:pPr>
              <w:spacing w:line="240" w:lineRule="auto"/>
              <w:ind w:firstLine="0"/>
              <w:jc w:val="left"/>
              <w:rPr>
                <w:sz w:val="20"/>
                <w:szCs w:val="20"/>
              </w:rPr>
            </w:pPr>
            <w:r w:rsidRPr="00F72B2C">
              <w:rPr>
                <w:sz w:val="20"/>
                <w:szCs w:val="20"/>
              </w:rPr>
              <w:t>Can, could</w:t>
            </w:r>
          </w:p>
        </w:tc>
        <w:tc>
          <w:tcPr>
            <w:tcW w:w="1728" w:type="pct"/>
            <w:gridSpan w:val="3"/>
            <w:shd w:val="clear" w:color="auto" w:fill="auto"/>
            <w:vAlign w:val="center"/>
          </w:tcPr>
          <w:p w14:paraId="1DEA3534" w14:textId="77777777" w:rsidR="00F72B2C" w:rsidRPr="00F72B2C" w:rsidRDefault="00F72B2C"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To indicate ability</w:t>
            </w:r>
          </w:p>
        </w:tc>
        <w:tc>
          <w:tcPr>
            <w:tcW w:w="2311" w:type="pct"/>
            <w:gridSpan w:val="4"/>
            <w:shd w:val="clear" w:color="auto" w:fill="auto"/>
            <w:vAlign w:val="center"/>
          </w:tcPr>
          <w:p w14:paraId="2D2E9CCA" w14:textId="0962C2C7" w:rsidR="00F72B2C" w:rsidRPr="00F72B2C" w:rsidRDefault="00F72B2C"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This suggests participants can overcome…</w:t>
            </w:r>
          </w:p>
        </w:tc>
      </w:tr>
      <w:tr w:rsidR="00F72B2C" w:rsidRPr="00F72B2C" w14:paraId="1421F78D" w14:textId="77777777" w:rsidTr="00FF6CD6">
        <w:trPr>
          <w:trHeight w:val="205"/>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FABF8F" w:themeFill="accent6" w:themeFillTint="99"/>
            <w:vAlign w:val="center"/>
          </w:tcPr>
          <w:p w14:paraId="3298347A" w14:textId="77777777" w:rsidR="00F72B2C" w:rsidRPr="00353DD1" w:rsidRDefault="00F72B2C" w:rsidP="00353DD1">
            <w:pPr>
              <w:spacing w:line="240" w:lineRule="auto"/>
              <w:ind w:firstLine="0"/>
              <w:jc w:val="left"/>
              <w:rPr>
                <w:sz w:val="16"/>
                <w:szCs w:val="16"/>
              </w:rPr>
            </w:pPr>
          </w:p>
        </w:tc>
      </w:tr>
      <w:tr w:rsidR="00353DD1" w:rsidRPr="00F72B2C" w14:paraId="2A3BC9AF" w14:textId="77777777" w:rsidTr="00353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pct"/>
            <w:gridSpan w:val="2"/>
            <w:shd w:val="clear" w:color="auto" w:fill="B2A1C7" w:themeFill="accent4" w:themeFillTint="99"/>
            <w:vAlign w:val="center"/>
          </w:tcPr>
          <w:p w14:paraId="600610EC" w14:textId="372722C8" w:rsidR="00353DD1" w:rsidRPr="00F72B2C" w:rsidRDefault="00353DD1" w:rsidP="00353DD1">
            <w:pPr>
              <w:spacing w:line="240" w:lineRule="auto"/>
              <w:ind w:firstLine="0"/>
              <w:jc w:val="left"/>
              <w:rPr>
                <w:sz w:val="20"/>
                <w:szCs w:val="20"/>
              </w:rPr>
            </w:pPr>
            <w:r>
              <w:rPr>
                <w:b w:val="0"/>
                <w:bCs w:val="0"/>
                <w:sz w:val="20"/>
                <w:szCs w:val="20"/>
              </w:rPr>
              <w:t>Often misused</w:t>
            </w:r>
          </w:p>
        </w:tc>
        <w:tc>
          <w:tcPr>
            <w:tcW w:w="1903" w:type="pct"/>
            <w:gridSpan w:val="3"/>
            <w:shd w:val="clear" w:color="auto" w:fill="CCC0D9" w:themeFill="accent4" w:themeFillTint="66"/>
            <w:vAlign w:val="center"/>
          </w:tcPr>
          <w:p w14:paraId="63C42624" w14:textId="58549AFD" w:rsidR="00353DD1" w:rsidRPr="00F72B2C" w:rsidRDefault="00353DD1"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Preferred or correct use</w:t>
            </w:r>
            <w:r>
              <w:rPr>
                <w:sz w:val="20"/>
                <w:szCs w:val="20"/>
              </w:rPr>
              <w:t xml:space="preserve"> </w:t>
            </w:r>
          </w:p>
        </w:tc>
        <w:tc>
          <w:tcPr>
            <w:tcW w:w="1820" w:type="pct"/>
            <w:gridSpan w:val="3"/>
            <w:shd w:val="clear" w:color="auto" w:fill="FBD4B4" w:themeFill="accent6" w:themeFillTint="66"/>
            <w:vAlign w:val="center"/>
          </w:tcPr>
          <w:p w14:paraId="76F82F4E" w14:textId="104A47D5" w:rsidR="00353DD1" w:rsidRPr="00F72B2C" w:rsidRDefault="00353DD1"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w:t>
            </w:r>
            <w:r w:rsidRPr="00F72B2C">
              <w:rPr>
                <w:sz w:val="20"/>
                <w:szCs w:val="20"/>
              </w:rPr>
              <w:t xml:space="preserve">ncorrect </w:t>
            </w:r>
            <w:r>
              <w:rPr>
                <w:sz w:val="20"/>
                <w:szCs w:val="20"/>
              </w:rPr>
              <w:t>-</w:t>
            </w:r>
            <w:r w:rsidRPr="00F72B2C">
              <w:rPr>
                <w:sz w:val="20"/>
                <w:szCs w:val="20"/>
              </w:rPr>
              <w:t xml:space="preserve"> </w:t>
            </w:r>
            <w:r>
              <w:rPr>
                <w:sz w:val="20"/>
                <w:szCs w:val="20"/>
              </w:rPr>
              <w:t>l</w:t>
            </w:r>
            <w:r w:rsidRPr="00F72B2C">
              <w:rPr>
                <w:sz w:val="20"/>
                <w:szCs w:val="20"/>
              </w:rPr>
              <w:t>east preferred</w:t>
            </w:r>
          </w:p>
        </w:tc>
      </w:tr>
      <w:tr w:rsidR="00BE10D7" w:rsidRPr="00F72B2C" w14:paraId="7500E69A" w14:textId="77777777" w:rsidTr="00353DD1">
        <w:tc>
          <w:tcPr>
            <w:cnfStyle w:val="001000000000" w:firstRow="0" w:lastRow="0" w:firstColumn="1" w:lastColumn="0" w:oddVBand="0" w:evenVBand="0" w:oddHBand="0" w:evenHBand="0" w:firstRowFirstColumn="0" w:firstRowLastColumn="0" w:lastRowFirstColumn="0" w:lastRowLastColumn="0"/>
            <w:tcW w:w="1277" w:type="pct"/>
            <w:gridSpan w:val="2"/>
            <w:shd w:val="clear" w:color="auto" w:fill="CCC0D9" w:themeFill="accent4" w:themeFillTint="66"/>
            <w:vAlign w:val="center"/>
          </w:tcPr>
          <w:p w14:paraId="7572C40A" w14:textId="008AE6DC" w:rsidR="00F72B2C" w:rsidRPr="00F72B2C" w:rsidRDefault="00F72B2C" w:rsidP="00353DD1">
            <w:pPr>
              <w:spacing w:line="240" w:lineRule="auto"/>
              <w:ind w:firstLine="0"/>
              <w:jc w:val="left"/>
              <w:rPr>
                <w:sz w:val="20"/>
                <w:szCs w:val="20"/>
              </w:rPr>
            </w:pPr>
            <w:r w:rsidRPr="00F72B2C">
              <w:rPr>
                <w:sz w:val="20"/>
                <w:szCs w:val="20"/>
              </w:rPr>
              <w:t>Effect (result)</w:t>
            </w:r>
          </w:p>
        </w:tc>
        <w:tc>
          <w:tcPr>
            <w:tcW w:w="1903" w:type="pct"/>
            <w:gridSpan w:val="3"/>
            <w:vAlign w:val="center"/>
          </w:tcPr>
          <w:p w14:paraId="25DE379D" w14:textId="77777777" w:rsidR="00353DD1" w:rsidRDefault="00BE10D7"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 xml:space="preserve">Effect describes the result of change, or the result itself. See impact above </w:t>
            </w:r>
          </w:p>
          <w:p w14:paraId="4ED7BA34" w14:textId="590836C9" w:rsidR="00F72B2C" w:rsidRPr="00F72B2C" w:rsidRDefault="00353DD1"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intervention had a positive effect on the atmosphere in sales.</w:t>
            </w:r>
          </w:p>
        </w:tc>
        <w:tc>
          <w:tcPr>
            <w:tcW w:w="1820" w:type="pct"/>
            <w:gridSpan w:val="3"/>
            <w:vAlign w:val="center"/>
          </w:tcPr>
          <w:p w14:paraId="450F3F6C" w14:textId="2ECEB259" w:rsidR="00F72B2C" w:rsidRPr="00F72B2C" w:rsidRDefault="00BE10D7"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Affect (emotions)</w:t>
            </w:r>
          </w:p>
        </w:tc>
      </w:tr>
      <w:tr w:rsidR="00BE10D7" w:rsidRPr="00F72B2C" w14:paraId="799DDDBC" w14:textId="77777777" w:rsidTr="00353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pct"/>
            <w:gridSpan w:val="2"/>
            <w:shd w:val="clear" w:color="auto" w:fill="CCC0D9" w:themeFill="accent4" w:themeFillTint="66"/>
            <w:vAlign w:val="center"/>
          </w:tcPr>
          <w:p w14:paraId="70EA592E" w14:textId="2966951D" w:rsidR="00F72B2C" w:rsidRPr="00F72B2C" w:rsidRDefault="00F72B2C" w:rsidP="00353DD1">
            <w:pPr>
              <w:spacing w:line="240" w:lineRule="auto"/>
              <w:ind w:firstLine="0"/>
              <w:jc w:val="left"/>
              <w:rPr>
                <w:sz w:val="20"/>
                <w:szCs w:val="20"/>
              </w:rPr>
            </w:pPr>
            <w:r w:rsidRPr="00F72B2C">
              <w:rPr>
                <w:sz w:val="20"/>
                <w:szCs w:val="20"/>
              </w:rPr>
              <w:t>Affect (</w:t>
            </w:r>
            <w:r w:rsidR="008B0F0C">
              <w:rPr>
                <w:sz w:val="20"/>
                <w:szCs w:val="20"/>
              </w:rPr>
              <w:t>to influence, to present an emotional state</w:t>
            </w:r>
            <w:r w:rsidRPr="00F72B2C">
              <w:rPr>
                <w:sz w:val="20"/>
                <w:szCs w:val="20"/>
              </w:rPr>
              <w:t>)</w:t>
            </w:r>
          </w:p>
        </w:tc>
        <w:tc>
          <w:tcPr>
            <w:tcW w:w="1903" w:type="pct"/>
            <w:gridSpan w:val="3"/>
            <w:vAlign w:val="center"/>
          </w:tcPr>
          <w:p w14:paraId="49B9108A" w14:textId="77777777" w:rsidR="00BE10D7" w:rsidRDefault="00BE10D7"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participants were affected adversely by the negative culture.</w:t>
            </w:r>
          </w:p>
          <w:p w14:paraId="696C3198" w14:textId="7859C12D" w:rsidR="00F72B2C" w:rsidRPr="00F72B2C" w:rsidRDefault="00BE10D7" w:rsidP="00FE772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Participant C’s affect was one of agitation and discomfort, and I paused the interview.</w:t>
            </w:r>
          </w:p>
        </w:tc>
        <w:tc>
          <w:tcPr>
            <w:tcW w:w="1820" w:type="pct"/>
            <w:gridSpan w:val="3"/>
            <w:vAlign w:val="center"/>
          </w:tcPr>
          <w:p w14:paraId="76B78608" w14:textId="33B34C39" w:rsidR="008B0F0C" w:rsidRPr="00F72B2C" w:rsidRDefault="00BE10D7"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Effect (result)</w:t>
            </w:r>
          </w:p>
        </w:tc>
      </w:tr>
      <w:tr w:rsidR="00BE10D7" w:rsidRPr="00F72B2C" w14:paraId="57211BB3" w14:textId="3D0FA69A" w:rsidTr="00353DD1">
        <w:tc>
          <w:tcPr>
            <w:cnfStyle w:val="001000000000" w:firstRow="0" w:lastRow="0" w:firstColumn="1" w:lastColumn="0" w:oddVBand="0" w:evenVBand="0" w:oddHBand="0" w:evenHBand="0" w:firstRowFirstColumn="0" w:firstRowLastColumn="0" w:lastRowFirstColumn="0" w:lastRowLastColumn="0"/>
            <w:tcW w:w="1277" w:type="pct"/>
            <w:gridSpan w:val="2"/>
            <w:shd w:val="clear" w:color="auto" w:fill="CCC0D9" w:themeFill="accent4" w:themeFillTint="66"/>
            <w:vAlign w:val="center"/>
          </w:tcPr>
          <w:p w14:paraId="2A083054" w14:textId="6990B450" w:rsidR="00F72B2C" w:rsidRPr="00F72B2C" w:rsidRDefault="00F72B2C" w:rsidP="00353DD1">
            <w:pPr>
              <w:spacing w:line="240" w:lineRule="auto"/>
              <w:ind w:firstLine="0"/>
              <w:jc w:val="left"/>
              <w:rPr>
                <w:b w:val="0"/>
                <w:sz w:val="20"/>
                <w:szCs w:val="20"/>
              </w:rPr>
            </w:pPr>
            <w:r w:rsidRPr="00F72B2C">
              <w:rPr>
                <w:sz w:val="20"/>
                <w:szCs w:val="20"/>
              </w:rPr>
              <w:t xml:space="preserve">According to </w:t>
            </w:r>
          </w:p>
        </w:tc>
        <w:tc>
          <w:tcPr>
            <w:tcW w:w="1903" w:type="pct"/>
            <w:gridSpan w:val="3"/>
            <w:vAlign w:val="center"/>
          </w:tcPr>
          <w:p w14:paraId="4768A623" w14:textId="0375AA06" w:rsidR="00BE10D7" w:rsidRDefault="00BE10D7"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State the new authority’s position, then note how it agrees or differs, or vice versa</w:t>
            </w:r>
          </w:p>
          <w:p w14:paraId="3184E987" w14:textId="62B853F6" w:rsidR="00F72B2C" w:rsidRPr="00F72B2C" w:rsidRDefault="00BE10D7"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According to Maslow (1957), the…</w:t>
            </w:r>
          </w:p>
        </w:tc>
        <w:tc>
          <w:tcPr>
            <w:tcW w:w="1820" w:type="pct"/>
            <w:gridSpan w:val="3"/>
            <w:vAlign w:val="center"/>
          </w:tcPr>
          <w:p w14:paraId="3509E19D" w14:textId="56AB8EE9" w:rsidR="00F72B2C" w:rsidRPr="00F72B2C" w:rsidRDefault="00BE10D7"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Concurring with; Agreeing with</w:t>
            </w:r>
          </w:p>
        </w:tc>
      </w:tr>
      <w:tr w:rsidR="00BE10D7" w:rsidRPr="00F72B2C" w14:paraId="6C34CA6B" w14:textId="77777777" w:rsidTr="00353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pct"/>
            <w:gridSpan w:val="2"/>
            <w:shd w:val="clear" w:color="auto" w:fill="CCC0D9" w:themeFill="accent4" w:themeFillTint="66"/>
            <w:vAlign w:val="center"/>
          </w:tcPr>
          <w:p w14:paraId="6F75A88A" w14:textId="690DA3A5" w:rsidR="00F72B2C" w:rsidRPr="00F72B2C" w:rsidRDefault="00F72B2C" w:rsidP="00353DD1">
            <w:pPr>
              <w:spacing w:line="240" w:lineRule="auto"/>
              <w:ind w:firstLine="0"/>
              <w:jc w:val="left"/>
              <w:rPr>
                <w:sz w:val="20"/>
                <w:szCs w:val="20"/>
              </w:rPr>
            </w:pPr>
            <w:r w:rsidRPr="00F72B2C">
              <w:rPr>
                <w:sz w:val="20"/>
                <w:szCs w:val="20"/>
              </w:rPr>
              <w:t>Despite</w:t>
            </w:r>
          </w:p>
        </w:tc>
        <w:tc>
          <w:tcPr>
            <w:tcW w:w="1903" w:type="pct"/>
            <w:gridSpan w:val="3"/>
            <w:vAlign w:val="center"/>
          </w:tcPr>
          <w:p w14:paraId="0FCF9751" w14:textId="288873AE" w:rsidR="00F72B2C" w:rsidRPr="00F72B2C" w:rsidRDefault="00BE10D7"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This informal process is favored despite the policy…</w:t>
            </w:r>
          </w:p>
        </w:tc>
        <w:tc>
          <w:tcPr>
            <w:tcW w:w="1820" w:type="pct"/>
            <w:gridSpan w:val="3"/>
            <w:shd w:val="clear" w:color="auto" w:fill="auto"/>
            <w:vAlign w:val="center"/>
          </w:tcPr>
          <w:p w14:paraId="7BD5D588" w14:textId="440589C3" w:rsidR="00F72B2C" w:rsidRPr="00F72B2C" w:rsidRDefault="00BE10D7"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In spite of</w:t>
            </w:r>
          </w:p>
        </w:tc>
      </w:tr>
      <w:tr w:rsidR="00BE10D7" w:rsidRPr="00F72B2C" w14:paraId="111D17A3" w14:textId="77777777" w:rsidTr="00353DD1">
        <w:tc>
          <w:tcPr>
            <w:cnfStyle w:val="001000000000" w:firstRow="0" w:lastRow="0" w:firstColumn="1" w:lastColumn="0" w:oddVBand="0" w:evenVBand="0" w:oddHBand="0" w:evenHBand="0" w:firstRowFirstColumn="0" w:firstRowLastColumn="0" w:lastRowFirstColumn="0" w:lastRowLastColumn="0"/>
            <w:tcW w:w="1277" w:type="pct"/>
            <w:gridSpan w:val="2"/>
            <w:shd w:val="clear" w:color="auto" w:fill="CCC0D9" w:themeFill="accent4" w:themeFillTint="66"/>
            <w:vAlign w:val="center"/>
          </w:tcPr>
          <w:p w14:paraId="7497D3ED" w14:textId="24208D87" w:rsidR="00F72B2C" w:rsidRPr="00F72B2C" w:rsidRDefault="00F72B2C" w:rsidP="00353DD1">
            <w:pPr>
              <w:spacing w:line="240" w:lineRule="auto"/>
              <w:ind w:firstLine="0"/>
              <w:jc w:val="left"/>
              <w:rPr>
                <w:sz w:val="20"/>
                <w:szCs w:val="20"/>
              </w:rPr>
            </w:pPr>
            <w:r w:rsidRPr="00F72B2C">
              <w:rPr>
                <w:sz w:val="20"/>
                <w:szCs w:val="20"/>
              </w:rPr>
              <w:t>Since</w:t>
            </w:r>
          </w:p>
        </w:tc>
        <w:tc>
          <w:tcPr>
            <w:tcW w:w="1903" w:type="pct"/>
            <w:gridSpan w:val="3"/>
            <w:vAlign w:val="center"/>
          </w:tcPr>
          <w:p w14:paraId="7FAA1A36" w14:textId="3B477E51" w:rsidR="00F72B2C" w:rsidRPr="00F72B2C" w:rsidRDefault="00F72B2C"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 xml:space="preserve">Because </w:t>
            </w:r>
          </w:p>
        </w:tc>
        <w:tc>
          <w:tcPr>
            <w:tcW w:w="1820" w:type="pct"/>
            <w:gridSpan w:val="3"/>
            <w:shd w:val="clear" w:color="auto" w:fill="auto"/>
            <w:vAlign w:val="center"/>
          </w:tcPr>
          <w:p w14:paraId="4D27F634" w14:textId="7A78AE64" w:rsidR="00F72B2C" w:rsidRPr="00F72B2C" w:rsidRDefault="00F72B2C"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Although because is gaining acceptance, it is still avoided in academic writing.</w:t>
            </w:r>
          </w:p>
        </w:tc>
      </w:tr>
      <w:tr w:rsidR="00BE10D7" w:rsidRPr="00F72B2C" w14:paraId="01FE4968" w14:textId="77777777" w:rsidTr="00353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pct"/>
            <w:gridSpan w:val="2"/>
            <w:shd w:val="clear" w:color="auto" w:fill="CCC0D9" w:themeFill="accent4" w:themeFillTint="66"/>
            <w:vAlign w:val="center"/>
          </w:tcPr>
          <w:p w14:paraId="2FD98CF0" w14:textId="04A4E68B" w:rsidR="00F72B2C" w:rsidRPr="00F72B2C" w:rsidRDefault="00F72B2C" w:rsidP="00353DD1">
            <w:pPr>
              <w:spacing w:line="240" w:lineRule="auto"/>
              <w:ind w:firstLine="0"/>
              <w:jc w:val="left"/>
              <w:rPr>
                <w:sz w:val="20"/>
                <w:szCs w:val="20"/>
              </w:rPr>
            </w:pPr>
            <w:r w:rsidRPr="00F72B2C">
              <w:rPr>
                <w:sz w:val="20"/>
                <w:szCs w:val="20"/>
              </w:rPr>
              <w:t>92%</w:t>
            </w:r>
          </w:p>
        </w:tc>
        <w:tc>
          <w:tcPr>
            <w:tcW w:w="1903" w:type="pct"/>
            <w:gridSpan w:val="3"/>
            <w:vAlign w:val="center"/>
          </w:tcPr>
          <w:p w14:paraId="4800AEC0" w14:textId="452D2362" w:rsidR="00F72B2C" w:rsidRPr="00F72B2C" w:rsidRDefault="00F72B2C"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92 percent</w:t>
            </w:r>
          </w:p>
        </w:tc>
        <w:tc>
          <w:tcPr>
            <w:tcW w:w="1820" w:type="pct"/>
            <w:gridSpan w:val="3"/>
            <w:shd w:val="clear" w:color="auto" w:fill="auto"/>
            <w:vAlign w:val="center"/>
          </w:tcPr>
          <w:p w14:paraId="01A715DC" w14:textId="531903EE" w:rsidR="00F72B2C" w:rsidRPr="00F72B2C" w:rsidRDefault="00F72B2C" w:rsidP="00353DD1">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F72B2C">
              <w:rPr>
                <w:sz w:val="20"/>
                <w:szCs w:val="20"/>
              </w:rPr>
              <w:t>Use the symbol with numbers, or</w:t>
            </w:r>
          </w:p>
        </w:tc>
      </w:tr>
      <w:tr w:rsidR="00BE10D7" w:rsidRPr="00F72B2C" w14:paraId="12FCBB2A" w14:textId="77777777" w:rsidTr="00353DD1">
        <w:tc>
          <w:tcPr>
            <w:cnfStyle w:val="001000000000" w:firstRow="0" w:lastRow="0" w:firstColumn="1" w:lastColumn="0" w:oddVBand="0" w:evenVBand="0" w:oddHBand="0" w:evenHBand="0" w:firstRowFirstColumn="0" w:firstRowLastColumn="0" w:lastRowFirstColumn="0" w:lastRowLastColumn="0"/>
            <w:tcW w:w="1277" w:type="pct"/>
            <w:gridSpan w:val="2"/>
            <w:shd w:val="clear" w:color="auto" w:fill="CCC0D9" w:themeFill="accent4" w:themeFillTint="66"/>
            <w:vAlign w:val="center"/>
          </w:tcPr>
          <w:p w14:paraId="750FADCD" w14:textId="26706EB9" w:rsidR="00F72B2C" w:rsidRPr="00F72B2C" w:rsidRDefault="00F72B2C" w:rsidP="00353DD1">
            <w:pPr>
              <w:spacing w:line="240" w:lineRule="auto"/>
              <w:ind w:firstLine="0"/>
              <w:jc w:val="left"/>
              <w:rPr>
                <w:sz w:val="20"/>
                <w:szCs w:val="20"/>
              </w:rPr>
            </w:pPr>
            <w:r w:rsidRPr="00F72B2C">
              <w:rPr>
                <w:sz w:val="20"/>
                <w:szCs w:val="20"/>
              </w:rPr>
              <w:t>Ninety-two percent</w:t>
            </w:r>
          </w:p>
        </w:tc>
        <w:tc>
          <w:tcPr>
            <w:tcW w:w="1903" w:type="pct"/>
            <w:gridSpan w:val="3"/>
            <w:vAlign w:val="center"/>
          </w:tcPr>
          <w:p w14:paraId="758B81F0" w14:textId="3777EAC0" w:rsidR="00F72B2C" w:rsidRPr="00F72B2C" w:rsidRDefault="00F72B2C"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Ninety-two %</w:t>
            </w:r>
          </w:p>
        </w:tc>
        <w:tc>
          <w:tcPr>
            <w:tcW w:w="1820" w:type="pct"/>
            <w:gridSpan w:val="3"/>
            <w:shd w:val="clear" w:color="auto" w:fill="auto"/>
            <w:vAlign w:val="center"/>
          </w:tcPr>
          <w:p w14:paraId="4649A99D" w14:textId="32D124C4" w:rsidR="00F72B2C" w:rsidRPr="00F72B2C" w:rsidRDefault="00F72B2C" w:rsidP="00353DD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F72B2C">
              <w:rPr>
                <w:sz w:val="20"/>
                <w:szCs w:val="20"/>
              </w:rPr>
              <w:t xml:space="preserve">The word with words.  </w:t>
            </w:r>
          </w:p>
        </w:tc>
      </w:tr>
      <w:tr w:rsidR="00F72B2C" w:rsidRPr="00F72B2C" w14:paraId="5E0962EB" w14:textId="21ED65D8" w:rsidTr="00FF6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FABF8F" w:themeFill="accent6" w:themeFillTint="99"/>
          </w:tcPr>
          <w:p w14:paraId="2B68DCF2" w14:textId="103877A5" w:rsidR="00F72B2C" w:rsidRPr="00F72B2C" w:rsidRDefault="00F72B2C" w:rsidP="00353DD1">
            <w:pPr>
              <w:spacing w:line="240" w:lineRule="auto"/>
              <w:ind w:firstLine="0"/>
              <w:rPr>
                <w:b w:val="0"/>
                <w:sz w:val="20"/>
                <w:szCs w:val="20"/>
              </w:rPr>
            </w:pPr>
          </w:p>
        </w:tc>
      </w:tr>
      <w:tr w:rsidR="00F72B2C" w:rsidRPr="00F72B2C" w14:paraId="716AC5B8" w14:textId="056CD0B1" w:rsidTr="00FF6CD6">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CCC0D9" w:themeFill="accent4" w:themeFillTint="66"/>
          </w:tcPr>
          <w:p w14:paraId="3A8EC14F" w14:textId="6F6256B3" w:rsidR="00F72B2C" w:rsidRPr="00CA1BAF" w:rsidRDefault="00F72B2C" w:rsidP="00353DD1">
            <w:pPr>
              <w:spacing w:line="240" w:lineRule="auto"/>
              <w:ind w:firstLine="0"/>
              <w:rPr>
                <w:rFonts w:ascii="Arial" w:hAnsi="Arial"/>
                <w:b w:val="0"/>
                <w:sz w:val="16"/>
                <w:szCs w:val="16"/>
              </w:rPr>
            </w:pPr>
          </w:p>
        </w:tc>
      </w:tr>
    </w:tbl>
    <w:p w14:paraId="18A9AD99" w14:textId="07B4F531" w:rsidR="00FC6FCB" w:rsidRPr="008B0F0C" w:rsidRDefault="008B0F0C" w:rsidP="00904D94">
      <w:pPr>
        <w:spacing w:before="120" w:after="60" w:line="276" w:lineRule="auto"/>
        <w:ind w:firstLine="0"/>
        <w:rPr>
          <w:b/>
        </w:rPr>
      </w:pPr>
      <w:r w:rsidRPr="008B0F0C">
        <w:rPr>
          <w:b/>
        </w:rPr>
        <w:t>Examples of word substitutions</w:t>
      </w:r>
    </w:p>
    <w:p w14:paraId="2D580BE3" w14:textId="245E2EE9" w:rsidR="003B6281" w:rsidRDefault="0049490B" w:rsidP="00904D94">
      <w:pPr>
        <w:spacing w:after="60" w:line="276" w:lineRule="auto"/>
      </w:pPr>
      <w:r>
        <w:t>Armand and Hammer</w:t>
      </w:r>
      <w:r w:rsidR="004719B0">
        <w:t>*</w:t>
      </w:r>
      <w:r>
        <w:t xml:space="preserve"> (2015) {</w:t>
      </w:r>
      <w:r w:rsidR="0075552D" w:rsidRPr="0075552D">
        <w:rPr>
          <w:highlight w:val="lightGray"/>
        </w:rPr>
        <w:t>theorize, hypothesize, posit, postulate, propose, state, note</w:t>
      </w:r>
      <w:r>
        <w:t xml:space="preserve">} an increase in retention when factors such as job satisfaction, </w:t>
      </w:r>
      <w:r w:rsidR="0075552D">
        <w:t>positive motivation, and an inclusive management style.  The authors conducted surveys of 1,500 millennial employees from 12 retail fashion stores representing five major retailers</w:t>
      </w:r>
      <w:r w:rsidR="00FF6CD6">
        <w:t>, which represents a 32% return rate</w:t>
      </w:r>
      <w:r w:rsidR="0075552D">
        <w:t>.  The {</w:t>
      </w:r>
      <w:r w:rsidR="0075552D" w:rsidRPr="0075552D">
        <w:rPr>
          <w:highlight w:val="lightGray"/>
        </w:rPr>
        <w:t>goal, intent, focus, aim, objective, purpose</w:t>
      </w:r>
      <w:r w:rsidR="0075552D">
        <w:t>} of this research was to {</w:t>
      </w:r>
      <w:r w:rsidR="0075552D" w:rsidRPr="0075552D">
        <w:rPr>
          <w:highlight w:val="lightGray"/>
        </w:rPr>
        <w:t xml:space="preserve">goal, intent, focus, aim, </w:t>
      </w:r>
      <w:r w:rsidR="0075552D" w:rsidRPr="0075552D">
        <w:rPr>
          <w:highlight w:val="lightGray"/>
        </w:rPr>
        <w:lastRenderedPageBreak/>
        <w:t>objective, purpose</w:t>
      </w:r>
      <w:r w:rsidR="0075552D">
        <w:t>} the generational differences, which effect retention and turnover among millennial employees.</w:t>
      </w:r>
      <w:r w:rsidR="00904D94">
        <w:t xml:space="preserve">  </w:t>
      </w:r>
      <w:r w:rsidR="004719B0">
        <w:t>*This is a fictional study.</w:t>
      </w:r>
    </w:p>
    <w:p w14:paraId="4BC59BA9" w14:textId="51B070D8" w:rsidR="008B0F0C" w:rsidRDefault="008B0F0C" w:rsidP="00904D94">
      <w:pPr>
        <w:spacing w:after="60" w:line="276" w:lineRule="auto"/>
        <w:ind w:left="540" w:hanging="540"/>
      </w:pPr>
      <w:r w:rsidRPr="008B0F0C">
        <w:rPr>
          <w:b/>
        </w:rPr>
        <w:t>Rules for the use of AFFECT and EFFECT</w:t>
      </w:r>
      <w:r w:rsidR="00FE772C">
        <w:rPr>
          <w:b/>
        </w:rPr>
        <w:t xml:space="preserve">: </w:t>
      </w:r>
      <w:hyperlink r:id="rId6" w:history="1">
        <w:r w:rsidRPr="00FB346F">
          <w:rPr>
            <w:rStyle w:val="Hyperlink"/>
          </w:rPr>
          <w:t>http://grammar.yourdictionary.com/style-and-usage/affect-effect-grammar.html</w:t>
        </w:r>
      </w:hyperlink>
      <w:r>
        <w:t xml:space="preserve"> </w:t>
      </w:r>
    </w:p>
    <w:p w14:paraId="15671A07" w14:textId="0000380F" w:rsidR="008B0F0C" w:rsidRDefault="008B0F0C" w:rsidP="00904D94">
      <w:pPr>
        <w:spacing w:after="60" w:line="276" w:lineRule="auto"/>
        <w:ind w:left="540" w:hanging="540"/>
      </w:pPr>
      <w:r w:rsidRPr="008B0F0C">
        <w:rPr>
          <w:b/>
        </w:rPr>
        <w:t>Commonly MISSPELLED words</w:t>
      </w:r>
      <w:r w:rsidR="00FE772C">
        <w:rPr>
          <w:b/>
        </w:rPr>
        <w:t xml:space="preserve">: </w:t>
      </w:r>
      <w:hyperlink r:id="rId7" w:history="1">
        <w:r w:rsidRPr="00FB346F">
          <w:rPr>
            <w:rStyle w:val="Hyperlink"/>
          </w:rPr>
          <w:t>http://grammar.yourdictionary.com/spelling-and-word-lists/misspelled.html</w:t>
        </w:r>
      </w:hyperlink>
      <w:r>
        <w:t xml:space="preserve"> </w:t>
      </w:r>
    </w:p>
    <w:p w14:paraId="4C238AAC" w14:textId="4F3A2C5C" w:rsidR="00CA1BAF" w:rsidRDefault="00CA1BAF" w:rsidP="00904D94">
      <w:pPr>
        <w:spacing w:after="60" w:line="276" w:lineRule="auto"/>
        <w:ind w:left="540" w:hanging="540"/>
      </w:pPr>
      <w:r w:rsidRPr="00D56C7F">
        <w:rPr>
          <w:b/>
        </w:rPr>
        <w:t>Sound smarter by removing these 15 words from your writing</w:t>
      </w:r>
      <w:r w:rsidR="00FE772C">
        <w:rPr>
          <w:b/>
        </w:rPr>
        <w:t xml:space="preserve">: </w:t>
      </w:r>
      <w:hyperlink r:id="rId8" w:history="1">
        <w:r w:rsidRPr="00FD5A5E">
          <w:rPr>
            <w:rStyle w:val="Hyperlink"/>
          </w:rPr>
          <w:t>https://www.themuse.com/advice/15-words-you-need-to-eliminate-from-your-vocabulary-to-sound-smarter-1?ref=carousel-slide-1</w:t>
        </w:r>
      </w:hyperlink>
      <w:r>
        <w:t xml:space="preserve"> </w:t>
      </w:r>
    </w:p>
    <w:p w14:paraId="7C062F05" w14:textId="58C6B1C0" w:rsidR="001C4E31" w:rsidRDefault="001C4E31" w:rsidP="00904D94">
      <w:pPr>
        <w:spacing w:after="60" w:line="276" w:lineRule="auto"/>
        <w:ind w:left="540" w:hanging="540"/>
      </w:pPr>
      <w:r w:rsidRPr="001C4E31">
        <w:rPr>
          <w:b/>
        </w:rPr>
        <w:t>The use of the serial (Oxford) comma</w:t>
      </w:r>
      <w:r w:rsidR="00904D94">
        <w:rPr>
          <w:b/>
        </w:rPr>
        <w:t xml:space="preserve">: </w:t>
      </w:r>
      <w:hyperlink r:id="rId9" w:history="1">
        <w:r w:rsidRPr="00FD5A5E">
          <w:rPr>
            <w:rStyle w:val="Hyperlink"/>
          </w:rPr>
          <w:t>http://www.grammarly.com/blog/2015/what-is-the-oxford-comma-and-why-do-people-care-so-much-about-it/</w:t>
        </w:r>
      </w:hyperlink>
      <w:r>
        <w:t xml:space="preserve"> </w:t>
      </w:r>
    </w:p>
    <w:p w14:paraId="0B9DF703" w14:textId="6A92B085" w:rsidR="00FE772C" w:rsidRDefault="00FE772C" w:rsidP="00904D94">
      <w:pPr>
        <w:spacing w:after="60" w:line="276" w:lineRule="auto"/>
        <w:ind w:left="540" w:hanging="540"/>
        <w:rPr>
          <w:iCs/>
        </w:rPr>
      </w:pPr>
      <w:r w:rsidRPr="00FE772C">
        <w:rPr>
          <w:b/>
        </w:rPr>
        <w:t>The use of First Person</w:t>
      </w:r>
      <w:r w:rsidR="00904D94">
        <w:rPr>
          <w:b/>
        </w:rPr>
        <w:t xml:space="preserve">: </w:t>
      </w:r>
      <w:hyperlink r:id="rId10" w:history="1">
        <w:r w:rsidRPr="00D4082F">
          <w:rPr>
            <w:rStyle w:val="Hyperlink"/>
            <w:iCs/>
          </w:rPr>
          <w:t>http://blog.apastyle.org/apastyle/2009/09/use-of-first-person-in-apa-style.html</w:t>
        </w:r>
      </w:hyperlink>
      <w:r>
        <w:rPr>
          <w:iCs/>
        </w:rPr>
        <w:t xml:space="preserve"> </w:t>
      </w:r>
    </w:p>
    <w:p w14:paraId="11D63BE3" w14:textId="66DEE24C" w:rsidR="00FE772C" w:rsidRDefault="00FE772C" w:rsidP="00904D94">
      <w:pPr>
        <w:spacing w:line="276" w:lineRule="auto"/>
        <w:ind w:firstLine="0"/>
        <w:rPr>
          <w:iCs/>
        </w:rPr>
      </w:pPr>
      <w:r w:rsidRPr="00FE772C">
        <w:rPr>
          <w:i/>
          <w:iCs/>
        </w:rPr>
        <w:t>I</w:t>
      </w:r>
      <w:r>
        <w:rPr>
          <w:i/>
          <w:iCs/>
        </w:rPr>
        <w:t xml:space="preserve"> </w:t>
      </w:r>
      <w:r w:rsidRPr="00FE772C">
        <w:t>or</w:t>
      </w:r>
      <w:r>
        <w:t xml:space="preserve"> </w:t>
      </w:r>
      <w:r w:rsidRPr="00FE772C">
        <w:rPr>
          <w:i/>
          <w:iCs/>
        </w:rPr>
        <w:t>we</w:t>
      </w:r>
      <w:r>
        <w:rPr>
          <w:i/>
          <w:iCs/>
        </w:rPr>
        <w:t xml:space="preserve"> </w:t>
      </w:r>
      <w:r w:rsidRPr="00FE772C">
        <w:t xml:space="preserve">is </w:t>
      </w:r>
      <w:r>
        <w:t>acceptable in APA Style</w:t>
      </w:r>
      <w:r w:rsidRPr="00FE772C">
        <w:t>, the </w:t>
      </w:r>
      <w:r w:rsidRPr="00FE772C">
        <w:rPr>
          <w:i/>
          <w:iCs/>
        </w:rPr>
        <w:t>Publication Manual </w:t>
      </w:r>
      <w:r w:rsidRPr="00FE772C">
        <w:t>actually recommends using first person, when appropriate, to avoid ambiguity.</w:t>
      </w:r>
      <w:r>
        <w:t xml:space="preserve">  See pages </w:t>
      </w:r>
      <w:r w:rsidRPr="00FE772C">
        <w:t xml:space="preserve">69–70, </w:t>
      </w:r>
      <w:r>
        <w:t xml:space="preserve">in </w:t>
      </w:r>
      <w:r w:rsidRPr="00FE772C">
        <w:t>the</w:t>
      </w:r>
      <w:r>
        <w:t xml:space="preserve"> </w:t>
      </w:r>
      <w:r w:rsidRPr="00FE772C">
        <w:rPr>
          <w:i/>
        </w:rPr>
        <w:t>APA 6</w:t>
      </w:r>
      <w:r w:rsidRPr="00FE772C">
        <w:rPr>
          <w:i/>
          <w:vertAlign w:val="superscript"/>
        </w:rPr>
        <w:t>th</w:t>
      </w:r>
      <w:r>
        <w:t xml:space="preserve"> </w:t>
      </w:r>
      <w:r w:rsidRPr="00FE772C">
        <w:rPr>
          <w:i/>
          <w:iCs/>
        </w:rPr>
        <w:t>Manual</w:t>
      </w:r>
      <w:r>
        <w:rPr>
          <w:i/>
          <w:iCs/>
        </w:rPr>
        <w:t xml:space="preserve">. </w:t>
      </w:r>
      <w:r w:rsidR="00904D94" w:rsidRPr="00904D94">
        <w:rPr>
          <w:iCs/>
        </w:rPr>
        <w:t>For e</w:t>
      </w:r>
      <w:r w:rsidR="00904D94">
        <w:rPr>
          <w:iCs/>
        </w:rPr>
        <w:t>xample</w:t>
      </w:r>
      <w:r>
        <w:rPr>
          <w:iCs/>
        </w:rPr>
        <w:t xml:space="preserve">, </w:t>
      </w:r>
    </w:p>
    <w:p w14:paraId="65DB78F6" w14:textId="77777777" w:rsidR="00FE772C" w:rsidRPr="00FE772C" w:rsidRDefault="00FE772C" w:rsidP="00FE772C">
      <w:pPr>
        <w:numPr>
          <w:ilvl w:val="0"/>
          <w:numId w:val="1"/>
        </w:numPr>
        <w:spacing w:line="276" w:lineRule="auto"/>
      </w:pPr>
      <w:bookmarkStart w:id="0" w:name="_GoBack"/>
      <w:r w:rsidRPr="00FE772C">
        <w:t xml:space="preserve">Authors sometimes use the third person simply because it sounds more objective. </w:t>
      </w:r>
      <w:bookmarkEnd w:id="0"/>
      <w:r w:rsidRPr="00FE772C">
        <w:t>Authors will often use </w:t>
      </w:r>
      <w:r w:rsidRPr="00FE772C">
        <w:rPr>
          <w:i/>
          <w:iCs/>
        </w:rPr>
        <w:t>the authors </w:t>
      </w:r>
      <w:r w:rsidRPr="00FE772C">
        <w:t>as a stand-in for </w:t>
      </w:r>
      <w:proofErr w:type="gramStart"/>
      <w:r w:rsidRPr="00FE772C">
        <w:rPr>
          <w:i/>
          <w:iCs/>
        </w:rPr>
        <w:t>I </w:t>
      </w:r>
      <w:r w:rsidRPr="00FE772C">
        <w:t>or</w:t>
      </w:r>
      <w:r w:rsidRPr="00FE772C">
        <w:rPr>
          <w:i/>
          <w:iCs/>
        </w:rPr>
        <w:t> we</w:t>
      </w:r>
      <w:proofErr w:type="gramEnd"/>
      <w:r w:rsidRPr="00FE772C">
        <w:t>, but using this phrase can lead to confusion. Consider this sentence:</w:t>
      </w:r>
    </w:p>
    <w:tbl>
      <w:tblPr>
        <w:tblW w:w="8639" w:type="dxa"/>
        <w:tblCellSpacing w:w="37" w:type="dxa"/>
        <w:tblInd w:w="870" w:type="dxa"/>
        <w:shd w:val="clear" w:color="auto" w:fill="B5CC82"/>
        <w:tblCellMar>
          <w:top w:w="75" w:type="dxa"/>
          <w:left w:w="75" w:type="dxa"/>
          <w:bottom w:w="75" w:type="dxa"/>
          <w:right w:w="75" w:type="dxa"/>
        </w:tblCellMar>
        <w:tblLook w:val="04A0" w:firstRow="1" w:lastRow="0" w:firstColumn="1" w:lastColumn="0" w:noHBand="0" w:noVBand="1"/>
      </w:tblPr>
      <w:tblGrid>
        <w:gridCol w:w="8639"/>
      </w:tblGrid>
      <w:tr w:rsidR="00FE772C" w:rsidRPr="00FE772C" w14:paraId="68737C30" w14:textId="77777777" w:rsidTr="00FE772C">
        <w:trPr>
          <w:tblCellSpacing w:w="37" w:type="dxa"/>
        </w:trPr>
        <w:tc>
          <w:tcPr>
            <w:tcW w:w="8491" w:type="dxa"/>
            <w:shd w:val="clear" w:color="auto" w:fill="B5CC82"/>
            <w:vAlign w:val="center"/>
            <w:hideMark/>
          </w:tcPr>
          <w:p w14:paraId="2FBC5E1E" w14:textId="77777777" w:rsidR="00FE772C" w:rsidRPr="00FE772C" w:rsidRDefault="00FE772C" w:rsidP="00FE772C">
            <w:pPr>
              <w:spacing w:line="276" w:lineRule="auto"/>
              <w:ind w:firstLine="0"/>
            </w:pPr>
            <w:r w:rsidRPr="00FE772C">
              <w:t>As Smith and Jones (1999) and Drew (2007) noted, there is no correlation between television viewing time and calorie intake. The authors replicated this finding with three experiments.</w:t>
            </w:r>
          </w:p>
        </w:tc>
      </w:tr>
    </w:tbl>
    <w:p w14:paraId="31702EBB" w14:textId="16498DB8" w:rsidR="00FE772C" w:rsidRPr="00FE772C" w:rsidRDefault="00FE772C" w:rsidP="00FE772C">
      <w:pPr>
        <w:numPr>
          <w:ilvl w:val="0"/>
          <w:numId w:val="1"/>
        </w:numPr>
        <w:spacing w:line="276" w:lineRule="auto"/>
      </w:pPr>
      <w:r w:rsidRPr="00FE772C">
        <w:t>Does “the authors” refer to both Smith and Jones (1999) and Drew (2007)? Or does it refer to the authors of the current paper? You would likely guess it’s the latter, but the meaning would be more clear with </w:t>
      </w:r>
      <w:r w:rsidRPr="00FE772C">
        <w:rPr>
          <w:i/>
          <w:iCs/>
        </w:rPr>
        <w:t>we</w:t>
      </w:r>
      <w:r w:rsidRPr="00FE772C">
        <w:t>:</w:t>
      </w:r>
    </w:p>
    <w:tbl>
      <w:tblPr>
        <w:tblW w:w="8639" w:type="dxa"/>
        <w:tblCellSpacing w:w="37" w:type="dxa"/>
        <w:tblInd w:w="870" w:type="dxa"/>
        <w:shd w:val="clear" w:color="auto" w:fill="B5CC82"/>
        <w:tblCellMar>
          <w:top w:w="75" w:type="dxa"/>
          <w:left w:w="75" w:type="dxa"/>
          <w:bottom w:w="75" w:type="dxa"/>
          <w:right w:w="75" w:type="dxa"/>
        </w:tblCellMar>
        <w:tblLook w:val="04A0" w:firstRow="1" w:lastRow="0" w:firstColumn="1" w:lastColumn="0" w:noHBand="0" w:noVBand="1"/>
      </w:tblPr>
      <w:tblGrid>
        <w:gridCol w:w="8639"/>
      </w:tblGrid>
      <w:tr w:rsidR="00FE772C" w:rsidRPr="00FE772C" w14:paraId="7D16B665" w14:textId="77777777" w:rsidTr="00FE772C">
        <w:trPr>
          <w:tblCellSpacing w:w="37" w:type="dxa"/>
        </w:trPr>
        <w:tc>
          <w:tcPr>
            <w:tcW w:w="8491" w:type="dxa"/>
            <w:shd w:val="clear" w:color="auto" w:fill="B5CC82"/>
            <w:vAlign w:val="center"/>
            <w:hideMark/>
          </w:tcPr>
          <w:p w14:paraId="37BD87FD" w14:textId="77777777" w:rsidR="00FE772C" w:rsidRPr="00FE772C" w:rsidRDefault="00FE772C" w:rsidP="00FE772C">
            <w:pPr>
              <w:spacing w:line="276" w:lineRule="auto"/>
              <w:ind w:firstLine="0"/>
            </w:pPr>
            <w:r w:rsidRPr="00FE772C">
              <w:t>As Smith and Jones (1999) and Drew (2007) noted, there is no correlation between television viewing time and calorie intake. We replicated this finding with three experiments.</w:t>
            </w:r>
          </w:p>
        </w:tc>
      </w:tr>
    </w:tbl>
    <w:p w14:paraId="6B603773" w14:textId="77777777" w:rsidR="00FE772C" w:rsidRPr="00FE772C" w:rsidRDefault="00FE772C" w:rsidP="00FE772C">
      <w:pPr>
        <w:numPr>
          <w:ilvl w:val="0"/>
          <w:numId w:val="1"/>
        </w:numPr>
        <w:spacing w:line="276" w:lineRule="auto"/>
      </w:pPr>
      <w:r w:rsidRPr="00FE772C">
        <w:t>Attempts to avoid first person can also lead to anthropomorphism. As the </w:t>
      </w:r>
      <w:r w:rsidRPr="00FE772C">
        <w:rPr>
          <w:i/>
          <w:iCs/>
        </w:rPr>
        <w:t>Manual </w:t>
      </w:r>
      <w:r w:rsidRPr="00FE772C">
        <w:t>notes (p. 69), an experiment cannot “attempt to demonstrate,” but </w:t>
      </w:r>
      <w:r w:rsidRPr="00FE772C">
        <w:rPr>
          <w:i/>
          <w:iCs/>
        </w:rPr>
        <w:t>I</w:t>
      </w:r>
      <w:r w:rsidRPr="00FE772C">
        <w:t> or </w:t>
      </w:r>
      <w:r w:rsidRPr="00FE772C">
        <w:rPr>
          <w:i/>
          <w:iCs/>
        </w:rPr>
        <w:t>we</w:t>
      </w:r>
      <w:r w:rsidRPr="00FE772C">
        <w:t> can.</w:t>
      </w:r>
    </w:p>
    <w:p w14:paraId="0460F114" w14:textId="196B98F0" w:rsidR="00FE772C" w:rsidRPr="00FE772C" w:rsidRDefault="00FE772C" w:rsidP="00FE772C">
      <w:pPr>
        <w:numPr>
          <w:ilvl w:val="0"/>
          <w:numId w:val="1"/>
        </w:numPr>
        <w:spacing w:line="276" w:lineRule="auto"/>
      </w:pPr>
      <w:r w:rsidRPr="00FE772C">
        <w:t>Finally, the use of the editorial </w:t>
      </w:r>
      <w:r w:rsidRPr="00FE772C">
        <w:rPr>
          <w:i/>
          <w:iCs/>
        </w:rPr>
        <w:t>we</w:t>
      </w:r>
      <w:r w:rsidRPr="00FE772C">
        <w:t> can sometimes be confusing. For example, “we categorize anxiety disorders …” may leave the reader wondering whether </w:t>
      </w:r>
      <w:r w:rsidRPr="00FE772C">
        <w:rPr>
          <w:i/>
          <w:iCs/>
        </w:rPr>
        <w:t>we </w:t>
      </w:r>
      <w:r w:rsidRPr="00FE772C">
        <w:t>refers to the authors of the current paper, to the research community, or to some other group. But this doesn't mean </w:t>
      </w:r>
      <w:r w:rsidRPr="00FE772C">
        <w:rPr>
          <w:i/>
          <w:iCs/>
        </w:rPr>
        <w:t>we</w:t>
      </w:r>
      <w:r w:rsidRPr="00FE772C">
        <w:t> must be completely avoided. As the </w:t>
      </w:r>
      <w:r w:rsidRPr="00FE772C">
        <w:rPr>
          <w:i/>
          <w:iCs/>
        </w:rPr>
        <w:t>Manual </w:t>
      </w:r>
      <w:r w:rsidRPr="00FE772C">
        <w:t>states (p. 70), “</w:t>
      </w:r>
      <w:r w:rsidRPr="00FE772C">
        <w:rPr>
          <w:i/>
          <w:iCs/>
        </w:rPr>
        <w:t>we </w:t>
      </w:r>
      <w:r w:rsidRPr="00FE772C">
        <w:t>is an appropriate and useful referent.” You could simply rewrite this sentence, “As psychologists, we categorize anxiety disorders …”</w:t>
      </w:r>
    </w:p>
    <w:sectPr w:rsidR="00FE772C" w:rsidRPr="00FE772C" w:rsidSect="003B6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Handwriting - Dakota">
    <w:altName w:val="Segoe UI Semilight"/>
    <w:charset w:val="00"/>
    <w:family w:val="auto"/>
    <w:pitch w:val="variable"/>
    <w:sig w:usb0="00000001" w:usb1="00000000" w:usb2="00000000" w:usb3="00000000" w:csb0="00000111" w:csb1="00000000"/>
  </w:font>
  <w:font w:name="Marker Felt">
    <w:charset w:val="00"/>
    <w:family w:val="auto"/>
    <w:pitch w:val="variable"/>
    <w:sig w:usb0="80000063" w:usb1="00000040" w:usb2="00000000" w:usb3="00000000" w:csb0="00000111" w:csb1="00000000"/>
  </w:font>
  <w:font w:name="Charlemagne Std 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F7D40"/>
    <w:multiLevelType w:val="multilevel"/>
    <w:tmpl w:val="BF64F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CD"/>
    <w:rsid w:val="0008140C"/>
    <w:rsid w:val="000A0632"/>
    <w:rsid w:val="00147C77"/>
    <w:rsid w:val="001B0161"/>
    <w:rsid w:val="001C4E31"/>
    <w:rsid w:val="001F5B48"/>
    <w:rsid w:val="00204374"/>
    <w:rsid w:val="00260B91"/>
    <w:rsid w:val="00266A0C"/>
    <w:rsid w:val="002A1B32"/>
    <w:rsid w:val="00353DD1"/>
    <w:rsid w:val="00396E44"/>
    <w:rsid w:val="003B6281"/>
    <w:rsid w:val="004673A4"/>
    <w:rsid w:val="004719B0"/>
    <w:rsid w:val="0049490B"/>
    <w:rsid w:val="004D2A8F"/>
    <w:rsid w:val="005405F5"/>
    <w:rsid w:val="005C323E"/>
    <w:rsid w:val="005D540B"/>
    <w:rsid w:val="006E019B"/>
    <w:rsid w:val="007246E1"/>
    <w:rsid w:val="0075552D"/>
    <w:rsid w:val="008165F0"/>
    <w:rsid w:val="00853571"/>
    <w:rsid w:val="0085576B"/>
    <w:rsid w:val="008B0F0C"/>
    <w:rsid w:val="008F7FCD"/>
    <w:rsid w:val="00904D94"/>
    <w:rsid w:val="009451DA"/>
    <w:rsid w:val="009C4E51"/>
    <w:rsid w:val="00A02BA8"/>
    <w:rsid w:val="00A45AB2"/>
    <w:rsid w:val="00A813A7"/>
    <w:rsid w:val="00AA6C87"/>
    <w:rsid w:val="00BB4791"/>
    <w:rsid w:val="00BE10D7"/>
    <w:rsid w:val="00C465E6"/>
    <w:rsid w:val="00C97132"/>
    <w:rsid w:val="00CA1BAF"/>
    <w:rsid w:val="00D56C7F"/>
    <w:rsid w:val="00EF7CE4"/>
    <w:rsid w:val="00F72B2C"/>
    <w:rsid w:val="00FC6FCB"/>
    <w:rsid w:val="00FE772C"/>
    <w:rsid w:val="00FF3306"/>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1470B"/>
  <w15:docId w15:val="{CA554895-AE1F-4113-B80B-26FDA914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5F5"/>
    <w:pPr>
      <w:suppressAutoHyphens/>
      <w:autoSpaceDN w:val="0"/>
      <w:spacing w:line="480" w:lineRule="auto"/>
      <w:ind w:firstLine="720"/>
      <w:jc w:val="both"/>
      <w:textAlignment w:val="baseline"/>
    </w:pPr>
    <w:rPr>
      <w:rFonts w:ascii="Times New Roman" w:eastAsia="Calibri"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unhideWhenUsed/>
    <w:rsid w:val="00A813A7"/>
    <w:pPr>
      <w:keepNext/>
      <w:tabs>
        <w:tab w:val="right" w:leader="underscore" w:pos="9360"/>
      </w:tabs>
      <w:suppressAutoHyphens w:val="0"/>
      <w:autoSpaceDN/>
      <w:spacing w:before="60" w:line="360" w:lineRule="auto"/>
      <w:ind w:left="432" w:right="432" w:firstLine="0"/>
      <w:jc w:val="left"/>
      <w:textAlignment w:val="auto"/>
    </w:pPr>
    <w:rPr>
      <w:rFonts w:ascii="Franklin Gothic Medium" w:hAnsi="Franklin Gothic Medium"/>
      <w:lang w:eastAsia="en-US"/>
    </w:rPr>
  </w:style>
  <w:style w:type="paragraph" w:customStyle="1" w:styleId="Normal-Personal">
    <w:name w:val="Normal - Personal"/>
    <w:basedOn w:val="Normal"/>
    <w:autoRedefine/>
    <w:qFormat/>
    <w:rsid w:val="006E019B"/>
    <w:pPr>
      <w:keepLines/>
      <w:ind w:left="864" w:hanging="576"/>
    </w:pPr>
    <w:rPr>
      <w:rFonts w:ascii="Handwriting - Dakota" w:hAnsi="Handwriting - Dakota"/>
      <w:sz w:val="28"/>
      <w:szCs w:val="32"/>
    </w:rPr>
  </w:style>
  <w:style w:type="paragraph" w:customStyle="1" w:styleId="Title-Personal">
    <w:name w:val="Title- Personal"/>
    <w:basedOn w:val="Normal"/>
    <w:next w:val="Normal-Personal"/>
    <w:autoRedefine/>
    <w:qFormat/>
    <w:rsid w:val="006E019B"/>
    <w:pPr>
      <w:pageBreakBefore/>
      <w:spacing w:before="240" w:after="120"/>
    </w:pPr>
    <w:rPr>
      <w:rFonts w:ascii="Marker Felt" w:hAnsi="Marker Felt"/>
      <w:b/>
      <w:i/>
      <w:sz w:val="32"/>
      <w:szCs w:val="32"/>
    </w:rPr>
  </w:style>
  <w:style w:type="paragraph" w:customStyle="1" w:styleId="Title-Main-Personal">
    <w:name w:val="Title - Main - Personal"/>
    <w:basedOn w:val="Title"/>
    <w:autoRedefine/>
    <w:qFormat/>
    <w:rsid w:val="006E019B"/>
    <w:rPr>
      <w:rFonts w:ascii="Charlemagne Std Bold" w:hAnsi="Charlemagne Std Bold"/>
    </w:rPr>
  </w:style>
  <w:style w:type="paragraph" w:styleId="Title">
    <w:name w:val="Title"/>
    <w:basedOn w:val="Normal"/>
    <w:next w:val="Normal"/>
    <w:link w:val="TitleChar"/>
    <w:uiPriority w:val="10"/>
    <w:qFormat/>
    <w:rsid w:val="006E01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019B"/>
    <w:rPr>
      <w:rFonts w:asciiTheme="majorHAnsi" w:eastAsiaTheme="majorEastAsia" w:hAnsiTheme="majorHAnsi" w:cstheme="majorBidi"/>
      <w:color w:val="17365D" w:themeColor="text2" w:themeShade="BF"/>
      <w:spacing w:val="5"/>
      <w:kern w:val="28"/>
      <w:sz w:val="52"/>
      <w:szCs w:val="52"/>
    </w:rPr>
  </w:style>
  <w:style w:type="paragraph" w:customStyle="1" w:styleId="Subtitle-Personal">
    <w:name w:val="Subtitle - Personal"/>
    <w:basedOn w:val="Normal"/>
    <w:qFormat/>
    <w:rsid w:val="006E019B"/>
    <w:rPr>
      <w:rFonts w:ascii="Comic Sans MS" w:hAnsi="Comic Sans MS"/>
      <w:color w:val="094D25"/>
      <w:sz w:val="36"/>
      <w:szCs w:val="36"/>
    </w:rPr>
  </w:style>
  <w:style w:type="paragraph" w:styleId="BalloonText">
    <w:name w:val="Balloon Text"/>
    <w:basedOn w:val="Normal"/>
    <w:link w:val="BalloonTextChar"/>
    <w:uiPriority w:val="99"/>
    <w:semiHidden/>
    <w:unhideWhenUsed/>
    <w:rsid w:val="0020437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374"/>
    <w:rPr>
      <w:rFonts w:ascii="Lucida Grande" w:eastAsia="Calibri" w:hAnsi="Lucida Grande" w:cs="Lucida Grande"/>
      <w:sz w:val="18"/>
      <w:szCs w:val="18"/>
    </w:rPr>
  </w:style>
  <w:style w:type="paragraph" w:customStyle="1" w:styleId="APATables">
    <w:name w:val="APA Tables"/>
    <w:basedOn w:val="Normal"/>
    <w:qFormat/>
    <w:rsid w:val="007246E1"/>
    <w:pPr>
      <w:spacing w:line="240" w:lineRule="auto"/>
      <w:ind w:firstLine="0"/>
      <w:jc w:val="left"/>
    </w:pPr>
    <w:rPr>
      <w:sz w:val="20"/>
      <w:szCs w:val="20"/>
    </w:rPr>
  </w:style>
  <w:style w:type="paragraph" w:styleId="Bibliography">
    <w:name w:val="Bibliography"/>
    <w:basedOn w:val="Normal"/>
    <w:next w:val="Normal"/>
    <w:uiPriority w:val="37"/>
    <w:semiHidden/>
    <w:unhideWhenUsed/>
    <w:qFormat/>
    <w:rsid w:val="00A813A7"/>
    <w:pPr>
      <w:keepLines/>
      <w:suppressAutoHyphens w:val="0"/>
      <w:autoSpaceDN/>
      <w:spacing w:after="120" w:line="360" w:lineRule="auto"/>
      <w:ind w:left="720" w:hanging="720"/>
      <w:jc w:val="left"/>
      <w:textAlignment w:val="auto"/>
    </w:pPr>
    <w:rPr>
      <w:rFonts w:eastAsiaTheme="minorEastAsia" w:cstheme="minorBidi"/>
      <w:lang w:eastAsia="en-US"/>
    </w:rPr>
  </w:style>
  <w:style w:type="paragraph" w:customStyle="1" w:styleId="Pro-First-Normal">
    <w:name w:val="Pro-First-Normal"/>
    <w:basedOn w:val="Normal"/>
    <w:qFormat/>
    <w:rsid w:val="00A813A7"/>
    <w:pPr>
      <w:suppressAutoHyphens w:val="0"/>
      <w:autoSpaceDN/>
      <w:spacing w:before="60" w:after="100" w:line="360" w:lineRule="auto"/>
      <w:ind w:left="720" w:firstLine="0"/>
      <w:textAlignment w:val="auto"/>
    </w:pPr>
    <w:rPr>
      <w:rFonts w:ascii="Franklin Gothic Book" w:hAnsi="Franklin Gothic Book"/>
      <w:sz w:val="22"/>
      <w:lang w:eastAsia="en-US"/>
    </w:rPr>
  </w:style>
  <w:style w:type="paragraph" w:customStyle="1" w:styleId="Pro-Normal">
    <w:name w:val="Pro-Normal"/>
    <w:basedOn w:val="Normal"/>
    <w:link w:val="Pro-NormalChar"/>
    <w:qFormat/>
    <w:rsid w:val="00A813A7"/>
    <w:pPr>
      <w:suppressAutoHyphens w:val="0"/>
      <w:autoSpaceDN/>
      <w:spacing w:before="60" w:after="100" w:line="360" w:lineRule="auto"/>
      <w:textAlignment w:val="auto"/>
    </w:pPr>
    <w:rPr>
      <w:rFonts w:ascii="Franklin Gothic Book" w:eastAsiaTheme="minorEastAsia" w:hAnsi="Franklin Gothic Book"/>
    </w:rPr>
  </w:style>
  <w:style w:type="character" w:customStyle="1" w:styleId="Pro-NormalChar">
    <w:name w:val="Pro-Normal Char"/>
    <w:basedOn w:val="DefaultParagraphFont"/>
    <w:link w:val="Pro-Normal"/>
    <w:rsid w:val="00A813A7"/>
    <w:rPr>
      <w:rFonts w:ascii="Franklin Gothic Book" w:hAnsi="Franklin Gothic Book" w:cs="Times New Roman"/>
    </w:rPr>
  </w:style>
  <w:style w:type="table" w:styleId="TableGrid">
    <w:name w:val="Table Grid"/>
    <w:basedOn w:val="TableNormal"/>
    <w:uiPriority w:val="59"/>
    <w:rsid w:val="0085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85576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8B0F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5384">
      <w:bodyDiv w:val="1"/>
      <w:marLeft w:val="0"/>
      <w:marRight w:val="0"/>
      <w:marTop w:val="0"/>
      <w:marBottom w:val="0"/>
      <w:divBdr>
        <w:top w:val="none" w:sz="0" w:space="0" w:color="auto"/>
        <w:left w:val="none" w:sz="0" w:space="0" w:color="auto"/>
        <w:bottom w:val="none" w:sz="0" w:space="0" w:color="auto"/>
        <w:right w:val="none" w:sz="0" w:space="0" w:color="auto"/>
      </w:divBdr>
    </w:div>
    <w:div w:id="1873957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use.com/advice/15-words-you-need-to-eliminate-from-your-vocabulary-to-sound-smarter-1?ref=carousel-slide-1" TargetMode="External"/><Relationship Id="rId3" Type="http://schemas.openxmlformats.org/officeDocument/2006/relationships/styles" Target="styles.xml"/><Relationship Id="rId7" Type="http://schemas.openxmlformats.org/officeDocument/2006/relationships/hyperlink" Target="http://grammar.yourdictionary.com/spelling-and-word-lists/misspelled.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rammar.yourdictionary.com/style-and-usage/affect-effect-grammar.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log.apastyle.org/apastyle/2009/09/use-of-first-person-in-apa-style.html" TargetMode="External"/><Relationship Id="rId4" Type="http://schemas.openxmlformats.org/officeDocument/2006/relationships/settings" Target="settings.xml"/><Relationship Id="rId9" Type="http://schemas.openxmlformats.org/officeDocument/2006/relationships/hyperlink" Target="http://www.grammarly.com/blog/2015/what-is-the-oxford-comma-and-why-do-people-care-so-much-abou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8288-B63F-4168-9B35-6C6439EA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Wood</dc:creator>
  <cp:keywords/>
  <dc:description/>
  <cp:lastModifiedBy>Kelley Wood</cp:lastModifiedBy>
  <cp:revision>3</cp:revision>
  <cp:lastPrinted>2015-12-25T18:33:00Z</cp:lastPrinted>
  <dcterms:created xsi:type="dcterms:W3CDTF">2015-12-30T18:49:00Z</dcterms:created>
  <dcterms:modified xsi:type="dcterms:W3CDTF">2017-06-19T22:05:00Z</dcterms:modified>
</cp:coreProperties>
</file>